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1DD" w:rsidRDefault="00E111DD" w:rsidP="00E111DD">
      <w:pPr>
        <w:rPr>
          <w:b/>
          <w:smallCaps/>
          <w:sz w:val="32"/>
          <w:szCs w:val="32"/>
          <w:u w:val="single"/>
        </w:rPr>
      </w:pPr>
      <w:bookmarkStart w:id="0" w:name="RoadmapWorksheet"/>
      <w:bookmarkStart w:id="1" w:name="_GoBack"/>
      <w:bookmarkEnd w:id="1"/>
      <w:r>
        <w:rPr>
          <w:b/>
          <w:smallCaps/>
          <w:sz w:val="32"/>
          <w:szCs w:val="32"/>
          <w:u w:val="single"/>
        </w:rPr>
        <w:t>Roadmap Worksheet</w:t>
      </w:r>
    </w:p>
    <w:bookmarkEnd w:id="0"/>
    <w:p w:rsidR="00E111DD" w:rsidRDefault="00E111DD" w:rsidP="00E111DD">
      <w:pPr>
        <w:spacing w:after="0"/>
      </w:pPr>
      <w:r>
        <w:t xml:space="preserve">Use this worksheet to plan your collaborative roadmap.  Not all collaborative groups or agency units will have the capacity or comfort-level to collaborate at every stage.  The table below lists each stage and some of the benefits of collaboration.  The collaboration continuum column should be used as a discussion point to identify roughly where on the continuum you would like to interact.  The last two columns are for you to fill in to indicate where you are committed to work together and what that commitment may look like.  Use the notes column to record preliminary information about timelines, who will be involved, etc.   An example has been provided.  Note that some of the tools listed in the example were pulled from pages other than the “Where” page of this document; adapt this tool to your needs. </w:t>
      </w:r>
    </w:p>
    <w:p w:rsidR="00E111DD" w:rsidRDefault="00E111DD" w:rsidP="00E111DD">
      <w:pPr>
        <w:spacing w:after="0"/>
        <w:ind w:left="-720" w:right="-720"/>
      </w:pPr>
    </w:p>
    <w:tbl>
      <w:tblPr>
        <w:tblW w:w="145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5130"/>
        <w:gridCol w:w="1170"/>
        <w:gridCol w:w="1710"/>
        <w:gridCol w:w="2070"/>
        <w:gridCol w:w="2520"/>
      </w:tblGrid>
      <w:tr w:rsidR="00E111DD" w:rsidRPr="00F171DB" w:rsidTr="00F171DB">
        <w:trPr>
          <w:cantSplit/>
          <w:tblHeader/>
        </w:trPr>
        <w:tc>
          <w:tcPr>
            <w:tcW w:w="1908" w:type="dxa"/>
            <w:shd w:val="clear" w:color="auto" w:fill="D6E3BC"/>
            <w:vAlign w:val="center"/>
          </w:tcPr>
          <w:p w:rsidR="00E111DD" w:rsidRPr="00F171DB" w:rsidRDefault="00E111DD" w:rsidP="00F171DB">
            <w:pPr>
              <w:tabs>
                <w:tab w:val="left" w:pos="1800"/>
              </w:tabs>
              <w:spacing w:after="0" w:line="240" w:lineRule="auto"/>
              <w:ind w:right="180"/>
              <w:jc w:val="center"/>
              <w:rPr>
                <w:b/>
              </w:rPr>
            </w:pPr>
            <w:r w:rsidRPr="00F171DB">
              <w:rPr>
                <w:b/>
              </w:rPr>
              <w:t>Stage Name</w:t>
            </w:r>
          </w:p>
        </w:tc>
        <w:tc>
          <w:tcPr>
            <w:tcW w:w="5130" w:type="dxa"/>
            <w:shd w:val="clear" w:color="auto" w:fill="D6E3BC"/>
            <w:vAlign w:val="center"/>
          </w:tcPr>
          <w:p w:rsidR="00E111DD" w:rsidRPr="00F171DB" w:rsidRDefault="00E111DD" w:rsidP="00F171DB">
            <w:pPr>
              <w:spacing w:after="0" w:line="240" w:lineRule="auto"/>
              <w:ind w:right="72"/>
              <w:jc w:val="center"/>
              <w:rPr>
                <w:b/>
              </w:rPr>
            </w:pPr>
            <w:r w:rsidRPr="00F171DB">
              <w:rPr>
                <w:b/>
              </w:rPr>
              <w:t>Benefits of Collaboration</w:t>
            </w:r>
            <w:r w:rsidRPr="00F171DB">
              <w:rPr>
                <w:rStyle w:val="FootnoteReference"/>
                <w:b/>
              </w:rPr>
              <w:footnoteReference w:id="1"/>
            </w:r>
          </w:p>
        </w:tc>
        <w:tc>
          <w:tcPr>
            <w:tcW w:w="1170" w:type="dxa"/>
            <w:shd w:val="clear" w:color="auto" w:fill="D6E3BC"/>
            <w:vAlign w:val="center"/>
          </w:tcPr>
          <w:p w:rsidR="00E111DD" w:rsidRPr="00F171DB" w:rsidRDefault="00E111DD" w:rsidP="00F171DB">
            <w:pPr>
              <w:spacing w:after="0" w:line="240" w:lineRule="auto"/>
              <w:ind w:right="72"/>
              <w:jc w:val="center"/>
              <w:rPr>
                <w:b/>
              </w:rPr>
            </w:pPr>
            <w:r w:rsidRPr="00F171DB">
              <w:rPr>
                <w:b/>
              </w:rPr>
              <w:t>Commit-</w:t>
            </w:r>
            <w:proofErr w:type="spellStart"/>
            <w:r w:rsidRPr="00F171DB">
              <w:rPr>
                <w:b/>
              </w:rPr>
              <w:t>ment</w:t>
            </w:r>
            <w:proofErr w:type="spellEnd"/>
          </w:p>
          <w:p w:rsidR="00E111DD" w:rsidRPr="00F171DB" w:rsidRDefault="00E111DD" w:rsidP="00F171DB">
            <w:pPr>
              <w:spacing w:after="0" w:line="240" w:lineRule="auto"/>
              <w:ind w:right="72"/>
              <w:jc w:val="center"/>
              <w:rPr>
                <w:b/>
              </w:rPr>
            </w:pPr>
            <w:r w:rsidRPr="00F171DB">
              <w:rPr>
                <w:b/>
              </w:rPr>
              <w:t>(Yes or No)</w:t>
            </w:r>
          </w:p>
        </w:tc>
        <w:tc>
          <w:tcPr>
            <w:tcW w:w="1710" w:type="dxa"/>
            <w:shd w:val="clear" w:color="auto" w:fill="D6E3BC"/>
            <w:vAlign w:val="center"/>
          </w:tcPr>
          <w:p w:rsidR="00E111DD" w:rsidRPr="00F171DB" w:rsidRDefault="00E111DD" w:rsidP="00F171DB">
            <w:pPr>
              <w:spacing w:after="0" w:line="240" w:lineRule="auto"/>
              <w:ind w:right="162"/>
              <w:jc w:val="center"/>
              <w:rPr>
                <w:b/>
              </w:rPr>
            </w:pPr>
            <w:r w:rsidRPr="00F171DB">
              <w:rPr>
                <w:b/>
              </w:rPr>
              <w:t>Collaboration Continuum</w:t>
            </w:r>
          </w:p>
          <w:p w:rsidR="00E111DD" w:rsidRPr="00F171DB" w:rsidRDefault="00E111DD" w:rsidP="00F171DB">
            <w:pPr>
              <w:spacing w:after="0" w:line="240" w:lineRule="auto"/>
              <w:ind w:right="162"/>
              <w:jc w:val="center"/>
              <w:rPr>
                <w:b/>
                <w:sz w:val="18"/>
                <w:szCs w:val="18"/>
              </w:rPr>
            </w:pPr>
            <w:r w:rsidRPr="00F171DB">
              <w:rPr>
                <w:b/>
                <w:sz w:val="18"/>
                <w:szCs w:val="18"/>
              </w:rPr>
              <w:t xml:space="preserve">Comm. </w:t>
            </w:r>
            <w:r w:rsidRPr="00F171DB">
              <w:rPr>
                <w:b/>
                <w:sz w:val="18"/>
                <w:szCs w:val="18"/>
              </w:rPr>
              <w:sym w:font="Wingdings" w:char="F0E0"/>
            </w:r>
            <w:r w:rsidRPr="00F171DB">
              <w:rPr>
                <w:b/>
                <w:sz w:val="18"/>
                <w:szCs w:val="18"/>
              </w:rPr>
              <w:t xml:space="preserve"> </w:t>
            </w:r>
            <w:proofErr w:type="spellStart"/>
            <w:r w:rsidRPr="00F171DB">
              <w:rPr>
                <w:b/>
                <w:sz w:val="18"/>
                <w:szCs w:val="18"/>
              </w:rPr>
              <w:t>Collab</w:t>
            </w:r>
            <w:proofErr w:type="spellEnd"/>
            <w:r w:rsidRPr="00F171DB">
              <w:rPr>
                <w:b/>
                <w:sz w:val="18"/>
                <w:szCs w:val="18"/>
              </w:rPr>
              <w:t>.</w:t>
            </w:r>
          </w:p>
        </w:tc>
        <w:tc>
          <w:tcPr>
            <w:tcW w:w="2070" w:type="dxa"/>
            <w:shd w:val="clear" w:color="auto" w:fill="D6E3BC"/>
            <w:vAlign w:val="center"/>
          </w:tcPr>
          <w:p w:rsidR="00E111DD" w:rsidRPr="00F171DB" w:rsidRDefault="00E111DD" w:rsidP="00F171DB">
            <w:pPr>
              <w:spacing w:after="0" w:line="240" w:lineRule="auto"/>
              <w:ind w:right="162"/>
              <w:jc w:val="center"/>
              <w:rPr>
                <w:b/>
              </w:rPr>
            </w:pPr>
            <w:r w:rsidRPr="00F171DB">
              <w:rPr>
                <w:b/>
              </w:rPr>
              <w:t>Tools</w:t>
            </w:r>
          </w:p>
        </w:tc>
        <w:tc>
          <w:tcPr>
            <w:tcW w:w="2520" w:type="dxa"/>
            <w:shd w:val="clear" w:color="auto" w:fill="D6E3BC"/>
            <w:vAlign w:val="center"/>
          </w:tcPr>
          <w:p w:rsidR="00E111DD" w:rsidRPr="00F171DB" w:rsidRDefault="00E111DD" w:rsidP="00F171DB">
            <w:pPr>
              <w:spacing w:after="0" w:line="240" w:lineRule="auto"/>
              <w:ind w:right="162"/>
              <w:jc w:val="center"/>
              <w:rPr>
                <w:b/>
              </w:rPr>
            </w:pPr>
            <w:r w:rsidRPr="00F171DB">
              <w:rPr>
                <w:b/>
              </w:rPr>
              <w:t>Notes</w:t>
            </w:r>
          </w:p>
        </w:tc>
      </w:tr>
      <w:tr w:rsidR="00E111DD" w:rsidRPr="00F171DB" w:rsidTr="00F171DB">
        <w:trPr>
          <w:cantSplit/>
        </w:trPr>
        <w:tc>
          <w:tcPr>
            <w:tcW w:w="1908" w:type="dxa"/>
            <w:shd w:val="clear" w:color="auto" w:fill="E0D2A0"/>
            <w:vAlign w:val="center"/>
          </w:tcPr>
          <w:p w:rsidR="00E111DD" w:rsidRPr="00F171DB" w:rsidRDefault="00E111DD" w:rsidP="00F171DB">
            <w:pPr>
              <w:spacing w:after="0" w:line="240" w:lineRule="auto"/>
              <w:rPr>
                <w:b/>
              </w:rPr>
            </w:pPr>
            <w:r w:rsidRPr="00F171DB">
              <w:rPr>
                <w:b/>
              </w:rPr>
              <w:t>Where</w:t>
            </w:r>
          </w:p>
          <w:p w:rsidR="00E111DD" w:rsidRPr="00F171DB" w:rsidRDefault="00E111DD" w:rsidP="00F171DB">
            <w:pPr>
              <w:spacing w:after="0" w:line="240" w:lineRule="auto"/>
              <w:rPr>
                <w:b/>
              </w:rPr>
            </w:pPr>
            <w:r w:rsidRPr="00F171DB">
              <w:rPr>
                <w:b/>
              </w:rPr>
              <w:t xml:space="preserve"> </w:t>
            </w:r>
            <w:r w:rsidRPr="00F171DB">
              <w:t>(Location)</w:t>
            </w:r>
          </w:p>
        </w:tc>
        <w:tc>
          <w:tcPr>
            <w:tcW w:w="5130" w:type="dxa"/>
            <w:shd w:val="clear" w:color="auto" w:fill="EAE1C0"/>
          </w:tcPr>
          <w:p w:rsidR="00E111DD" w:rsidRPr="00F171DB" w:rsidRDefault="00E111DD" w:rsidP="00F171DB">
            <w:pPr>
              <w:pStyle w:val="ListParagraph"/>
              <w:numPr>
                <w:ilvl w:val="0"/>
                <w:numId w:val="1"/>
              </w:numPr>
              <w:spacing w:after="0" w:line="240" w:lineRule="auto"/>
              <w:ind w:left="432" w:right="72"/>
            </w:pPr>
            <w:r w:rsidRPr="00F171DB">
              <w:t>Creates early ownership in the project.</w:t>
            </w:r>
          </w:p>
          <w:p w:rsidR="00E111DD" w:rsidRPr="00F171DB" w:rsidRDefault="00E111DD" w:rsidP="00F171DB">
            <w:pPr>
              <w:pStyle w:val="ListParagraph"/>
              <w:numPr>
                <w:ilvl w:val="0"/>
                <w:numId w:val="1"/>
              </w:numPr>
              <w:spacing w:after="0" w:line="240" w:lineRule="auto"/>
              <w:ind w:left="432" w:right="72"/>
            </w:pPr>
            <w:r w:rsidRPr="00F171DB">
              <w:t>Incorporates local knowledge into the project.</w:t>
            </w:r>
          </w:p>
          <w:p w:rsidR="00E111DD" w:rsidRPr="00F171DB" w:rsidRDefault="00E111DD" w:rsidP="00F171DB">
            <w:pPr>
              <w:pStyle w:val="ListParagraph"/>
              <w:numPr>
                <w:ilvl w:val="0"/>
                <w:numId w:val="1"/>
              </w:numPr>
              <w:spacing w:after="0" w:line="240" w:lineRule="auto"/>
              <w:ind w:left="432" w:right="72"/>
            </w:pPr>
            <w:r w:rsidRPr="00F171DB">
              <w:t>….</w:t>
            </w:r>
          </w:p>
        </w:tc>
        <w:tc>
          <w:tcPr>
            <w:tcW w:w="1170" w:type="dxa"/>
            <w:shd w:val="clear" w:color="auto" w:fill="EAE1C0"/>
            <w:vAlign w:val="center"/>
          </w:tcPr>
          <w:p w:rsidR="00E111DD" w:rsidRPr="00F171DB" w:rsidRDefault="00E111DD" w:rsidP="00F171DB">
            <w:pPr>
              <w:spacing w:after="0" w:line="240" w:lineRule="auto"/>
              <w:ind w:right="72"/>
              <w:jc w:val="center"/>
              <w:rPr>
                <w:rFonts w:ascii="Bradley Hand ITC" w:hAnsi="Bradley Hand ITC"/>
                <w:sz w:val="36"/>
                <w:szCs w:val="36"/>
              </w:rPr>
            </w:pPr>
            <w:r w:rsidRPr="00F171DB">
              <w:rPr>
                <w:rFonts w:ascii="Bradley Hand ITC" w:hAnsi="Bradley Hand ITC"/>
                <w:sz w:val="36"/>
                <w:szCs w:val="36"/>
              </w:rPr>
              <w:sym w:font="Wingdings" w:char="F0FE"/>
            </w:r>
          </w:p>
        </w:tc>
        <w:tc>
          <w:tcPr>
            <w:tcW w:w="1710" w:type="dxa"/>
            <w:shd w:val="clear" w:color="auto" w:fill="EAE1C0"/>
            <w:vAlign w:val="center"/>
          </w:tcPr>
          <w:p w:rsidR="00E111DD" w:rsidRPr="00F171DB" w:rsidRDefault="00E111DD" w:rsidP="00F171DB">
            <w:pPr>
              <w:spacing w:after="0" w:line="240" w:lineRule="auto"/>
              <w:ind w:right="72"/>
              <w:rPr>
                <w:rFonts w:ascii="Bradley Hand ITC" w:hAnsi="Bradley Hand ITC"/>
              </w:rPr>
            </w:pPr>
            <w:r w:rsidRPr="00F171DB">
              <w:t xml:space="preserve">  ………………..x…</w:t>
            </w:r>
          </w:p>
        </w:tc>
        <w:tc>
          <w:tcPr>
            <w:tcW w:w="2070" w:type="dxa"/>
            <w:shd w:val="clear" w:color="auto" w:fill="EAE1C0"/>
          </w:tcPr>
          <w:p w:rsidR="00E111DD" w:rsidRPr="00F171DB" w:rsidRDefault="00E111DD" w:rsidP="00F171DB">
            <w:pPr>
              <w:spacing w:after="0" w:line="240" w:lineRule="auto"/>
              <w:ind w:right="72"/>
              <w:rPr>
                <w:rFonts w:ascii="Bradley Hand ITC" w:hAnsi="Bradley Hand ITC"/>
              </w:rPr>
            </w:pPr>
            <w:r w:rsidRPr="00F171DB">
              <w:rPr>
                <w:rFonts w:ascii="Bradley Hand ITC" w:hAnsi="Bradley Hand ITC"/>
              </w:rPr>
              <w:t>Stakeholder analysis</w:t>
            </w:r>
          </w:p>
          <w:p w:rsidR="00E111DD" w:rsidRPr="00F171DB" w:rsidRDefault="00E111DD" w:rsidP="00F171DB">
            <w:pPr>
              <w:spacing w:after="0" w:line="240" w:lineRule="auto"/>
              <w:ind w:right="72"/>
              <w:rPr>
                <w:rFonts w:ascii="Bradley Hand ITC" w:hAnsi="Bradley Hand ITC"/>
              </w:rPr>
            </w:pPr>
          </w:p>
          <w:p w:rsidR="00E111DD" w:rsidRPr="00F171DB" w:rsidRDefault="00E111DD" w:rsidP="00F171DB">
            <w:pPr>
              <w:spacing w:after="0" w:line="240" w:lineRule="auto"/>
              <w:ind w:right="72"/>
              <w:rPr>
                <w:rFonts w:ascii="Bradley Hand ITC" w:hAnsi="Bradley Hand ITC"/>
              </w:rPr>
            </w:pPr>
            <w:r w:rsidRPr="00F171DB">
              <w:rPr>
                <w:rFonts w:ascii="Bradley Hand ITC" w:hAnsi="Bradley Hand ITC"/>
              </w:rPr>
              <w:t>Brainstorming</w:t>
            </w:r>
          </w:p>
          <w:p w:rsidR="00E111DD" w:rsidRPr="00F171DB" w:rsidRDefault="00E111DD" w:rsidP="00F171DB">
            <w:pPr>
              <w:spacing w:after="0" w:line="240" w:lineRule="auto"/>
              <w:ind w:right="72"/>
              <w:rPr>
                <w:rFonts w:ascii="Bradley Hand ITC" w:hAnsi="Bradley Hand ITC"/>
              </w:rPr>
            </w:pPr>
          </w:p>
          <w:p w:rsidR="00E111DD" w:rsidRPr="00F171DB" w:rsidRDefault="00E111DD" w:rsidP="00F171DB">
            <w:pPr>
              <w:spacing w:after="0" w:line="240" w:lineRule="auto"/>
              <w:ind w:right="72"/>
              <w:rPr>
                <w:rFonts w:ascii="Bradley Hand ITC" w:hAnsi="Bradley Hand ITC"/>
              </w:rPr>
            </w:pPr>
            <w:r w:rsidRPr="00F171DB">
              <w:rPr>
                <w:rFonts w:ascii="Bradley Hand ITC" w:hAnsi="Bradley Hand ITC"/>
              </w:rPr>
              <w:t>Mylar overlays</w:t>
            </w:r>
          </w:p>
          <w:p w:rsidR="00E111DD" w:rsidRPr="00F171DB" w:rsidRDefault="00E111DD" w:rsidP="00F171DB">
            <w:pPr>
              <w:spacing w:after="0" w:line="240" w:lineRule="auto"/>
              <w:ind w:right="72"/>
              <w:rPr>
                <w:rFonts w:ascii="Bradley Hand ITC" w:hAnsi="Bradley Hand ITC"/>
              </w:rPr>
            </w:pPr>
          </w:p>
          <w:p w:rsidR="00E111DD" w:rsidRPr="00F171DB" w:rsidRDefault="00E111DD" w:rsidP="00F171DB">
            <w:pPr>
              <w:spacing w:after="0" w:line="240" w:lineRule="auto"/>
              <w:ind w:right="72"/>
              <w:rPr>
                <w:rFonts w:ascii="Bradley Hand ITC" w:hAnsi="Bradley Hand ITC"/>
              </w:rPr>
            </w:pPr>
            <w:r w:rsidRPr="00F171DB">
              <w:rPr>
                <w:rFonts w:ascii="Bradley Hand ITC" w:hAnsi="Bradley Hand ITC"/>
              </w:rPr>
              <w:t>Field trip</w:t>
            </w:r>
          </w:p>
        </w:tc>
        <w:tc>
          <w:tcPr>
            <w:tcW w:w="2520" w:type="dxa"/>
            <w:shd w:val="clear" w:color="auto" w:fill="EAE1C0"/>
          </w:tcPr>
          <w:p w:rsidR="00E111DD" w:rsidRPr="00F171DB" w:rsidRDefault="00E111DD" w:rsidP="00F171DB">
            <w:pPr>
              <w:spacing w:after="0" w:line="240" w:lineRule="auto"/>
              <w:ind w:right="72"/>
              <w:rPr>
                <w:rFonts w:ascii="Bradley Hand ITC" w:hAnsi="Bradley Hand ITC"/>
              </w:rPr>
            </w:pPr>
            <w:r w:rsidRPr="00F171DB">
              <w:rPr>
                <w:rFonts w:ascii="Bradley Hand ITC" w:hAnsi="Bradley Hand ITC"/>
              </w:rPr>
              <w:t xml:space="preserve">Complete stakeholder analysis prior to beginning process.  </w:t>
            </w: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rPr>
                <w:b/>
              </w:rPr>
            </w:pPr>
            <w:r w:rsidRPr="00F171DB">
              <w:rPr>
                <w:b/>
              </w:rPr>
              <w:t>Where</w:t>
            </w:r>
          </w:p>
          <w:p w:rsidR="00E111DD" w:rsidRPr="00F171DB" w:rsidRDefault="00E111DD" w:rsidP="00F171DB">
            <w:pPr>
              <w:spacing w:after="0" w:line="240" w:lineRule="auto"/>
              <w:rPr>
                <w:b/>
              </w:rPr>
            </w:pPr>
            <w:r w:rsidRPr="00F171DB">
              <w:rPr>
                <w:b/>
              </w:rPr>
              <w:t xml:space="preserve"> </w:t>
            </w:r>
            <w:r w:rsidRPr="00F171DB">
              <w:t>(Location)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Creates</w:t>
            </w:r>
            <w:r w:rsidR="002C1BA7" w:rsidRPr="00F171DB">
              <w:t xml:space="preserve"> early ownership in the project.</w:t>
            </w:r>
          </w:p>
          <w:p w:rsidR="00E111DD" w:rsidRPr="00F171DB" w:rsidRDefault="00E111DD" w:rsidP="00F171DB">
            <w:pPr>
              <w:pStyle w:val="ListParagraph"/>
              <w:numPr>
                <w:ilvl w:val="0"/>
                <w:numId w:val="1"/>
              </w:numPr>
              <w:spacing w:after="0" w:line="240" w:lineRule="auto"/>
              <w:ind w:left="432" w:right="72"/>
            </w:pPr>
            <w:r w:rsidRPr="00F171DB">
              <w:t>Incorporates local knowledge into the project.</w:t>
            </w:r>
          </w:p>
          <w:p w:rsidR="00E111DD" w:rsidRPr="00F171DB" w:rsidRDefault="00E111DD" w:rsidP="00F171DB">
            <w:pPr>
              <w:pStyle w:val="ListParagraph"/>
              <w:numPr>
                <w:ilvl w:val="0"/>
                <w:numId w:val="1"/>
              </w:numPr>
              <w:spacing w:after="0" w:line="240" w:lineRule="auto"/>
              <w:ind w:left="432" w:right="72"/>
            </w:pPr>
            <w:r w:rsidRPr="00F171DB">
              <w:t xml:space="preserve">Emphasizes mutual learning. </w:t>
            </w:r>
          </w:p>
          <w:p w:rsidR="00E111DD" w:rsidRPr="00F171DB" w:rsidRDefault="00E111DD" w:rsidP="00F171DB">
            <w:pPr>
              <w:pStyle w:val="ListParagraph"/>
              <w:numPr>
                <w:ilvl w:val="0"/>
                <w:numId w:val="1"/>
              </w:numPr>
              <w:spacing w:after="0" w:line="240" w:lineRule="auto"/>
              <w:ind w:left="432" w:right="72"/>
            </w:pPr>
            <w:r w:rsidRPr="00F171DB">
              <w:t>Can bring partners together based on shared sense of place.</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rPr>
                <w:b/>
              </w:rPr>
            </w:pPr>
            <w:r w:rsidRPr="00F171DB">
              <w:rPr>
                <w:b/>
              </w:rPr>
              <w:lastRenderedPageBreak/>
              <w:t>When</w:t>
            </w:r>
          </w:p>
          <w:p w:rsidR="00E111DD" w:rsidRPr="00F171DB" w:rsidRDefault="00E111DD" w:rsidP="00F171DB">
            <w:pPr>
              <w:spacing w:after="0" w:line="240" w:lineRule="auto"/>
            </w:pPr>
            <w:r w:rsidRPr="00F171DB">
              <w:t>(Timing)</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Creates early ownership in the project.</w:t>
            </w:r>
          </w:p>
          <w:p w:rsidR="00E111DD" w:rsidRPr="00F171DB" w:rsidRDefault="00E111DD" w:rsidP="00F171DB">
            <w:pPr>
              <w:pStyle w:val="ListParagraph"/>
              <w:numPr>
                <w:ilvl w:val="0"/>
                <w:numId w:val="1"/>
              </w:numPr>
              <w:spacing w:after="0" w:line="240" w:lineRule="auto"/>
              <w:ind w:left="432" w:right="72"/>
            </w:pPr>
            <w:r w:rsidRPr="00F171DB">
              <w:t>Can incorporate socio-economic and political factors in the prioritization process.</w:t>
            </w:r>
          </w:p>
          <w:p w:rsidR="00E111DD" w:rsidRPr="00F171DB" w:rsidRDefault="00E111DD" w:rsidP="00F171DB">
            <w:pPr>
              <w:pStyle w:val="ListParagraph"/>
              <w:numPr>
                <w:ilvl w:val="0"/>
                <w:numId w:val="1"/>
              </w:numPr>
              <w:spacing w:after="0" w:line="240" w:lineRule="auto"/>
              <w:ind w:left="432" w:right="72"/>
            </w:pPr>
            <w:r w:rsidRPr="00F171DB">
              <w:t>Emphasizes mutual learning and understanding.</w:t>
            </w:r>
          </w:p>
          <w:p w:rsidR="00E111DD" w:rsidRPr="00F171DB" w:rsidRDefault="00E111DD" w:rsidP="00F171DB">
            <w:pPr>
              <w:pStyle w:val="ListParagraph"/>
              <w:numPr>
                <w:ilvl w:val="0"/>
                <w:numId w:val="1"/>
              </w:numPr>
              <w:spacing w:after="0" w:line="240" w:lineRule="auto"/>
              <w:ind w:left="432" w:right="72"/>
            </w:pPr>
            <w:r w:rsidRPr="00F171DB">
              <w:t>Enables use of stewardship contracting authority.</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18"/>
              <w:rPr>
                <w:b/>
              </w:rPr>
            </w:pPr>
            <w:r w:rsidRPr="00F171DB">
              <w:rPr>
                <w:b/>
              </w:rPr>
              <w:t>Why</w:t>
            </w:r>
          </w:p>
          <w:p w:rsidR="00E111DD" w:rsidRPr="00F171DB" w:rsidRDefault="00E111DD" w:rsidP="00F171DB">
            <w:pPr>
              <w:spacing w:after="0" w:line="240" w:lineRule="auto"/>
              <w:ind w:right="-18"/>
            </w:pPr>
            <w:r w:rsidRPr="00F171DB">
              <w:t>(Desired/Existing Condition)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Increases understanding of the rationale for action.</w:t>
            </w:r>
          </w:p>
          <w:p w:rsidR="00E111DD" w:rsidRPr="00F171DB" w:rsidRDefault="00E111DD" w:rsidP="00F171DB">
            <w:pPr>
              <w:pStyle w:val="ListParagraph"/>
              <w:numPr>
                <w:ilvl w:val="0"/>
                <w:numId w:val="1"/>
              </w:numPr>
              <w:spacing w:after="0" w:line="240" w:lineRule="auto"/>
              <w:ind w:left="432" w:right="72"/>
            </w:pPr>
            <w:r w:rsidRPr="00F171DB">
              <w:t>Helpful when science is in dispute.</w:t>
            </w:r>
          </w:p>
          <w:p w:rsidR="00E111DD" w:rsidRPr="00F171DB" w:rsidRDefault="00E111DD" w:rsidP="00F171DB">
            <w:pPr>
              <w:pStyle w:val="ListParagraph"/>
              <w:numPr>
                <w:ilvl w:val="0"/>
                <w:numId w:val="1"/>
              </w:numPr>
              <w:spacing w:after="0" w:line="240" w:lineRule="auto"/>
              <w:ind w:left="432" w:right="72"/>
            </w:pPr>
            <w:r w:rsidRPr="00F171DB">
              <w:t>Facilitates the sharing of knowledge (technical and experiential) and data.</w:t>
            </w:r>
          </w:p>
          <w:p w:rsidR="00E111DD" w:rsidRPr="00F171DB" w:rsidRDefault="00E111DD" w:rsidP="00F171DB">
            <w:pPr>
              <w:pStyle w:val="ListParagraph"/>
              <w:numPr>
                <w:ilvl w:val="0"/>
                <w:numId w:val="1"/>
              </w:numPr>
              <w:spacing w:after="0" w:line="240" w:lineRule="auto"/>
              <w:ind w:left="432" w:right="72"/>
            </w:pPr>
            <w:r w:rsidRPr="00F171DB">
              <w:t>Can bring partners together based on shared problems or shared vision.</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What</w:t>
            </w:r>
          </w:p>
          <w:p w:rsidR="00E111DD" w:rsidRPr="00F171DB" w:rsidRDefault="00E111DD" w:rsidP="00F171DB">
            <w:pPr>
              <w:spacing w:after="0" w:line="240" w:lineRule="auto"/>
              <w:ind w:right="-18"/>
            </w:pPr>
            <w:r w:rsidRPr="00F171DB">
              <w:t>(Possible Activities)</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Generates range of activities likely to have broad support.</w:t>
            </w:r>
          </w:p>
          <w:p w:rsidR="00E111DD" w:rsidRPr="00F171DB" w:rsidRDefault="00E111DD" w:rsidP="00F171DB">
            <w:pPr>
              <w:pStyle w:val="ListParagraph"/>
              <w:numPr>
                <w:ilvl w:val="0"/>
                <w:numId w:val="1"/>
              </w:numPr>
              <w:spacing w:after="0" w:line="240" w:lineRule="auto"/>
              <w:ind w:left="432" w:right="72"/>
            </w:pPr>
            <w:r w:rsidRPr="00F171DB">
              <w:t>May encourage creative solutions early in the process.</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Purpose and Need</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Increases ownership in the project.</w:t>
            </w:r>
          </w:p>
          <w:p w:rsidR="00E111DD" w:rsidRPr="00F171DB" w:rsidRDefault="00E111DD" w:rsidP="00F171DB">
            <w:pPr>
              <w:pStyle w:val="ListParagraph"/>
              <w:numPr>
                <w:ilvl w:val="0"/>
                <w:numId w:val="1"/>
              </w:numPr>
              <w:spacing w:after="0" w:line="240" w:lineRule="auto"/>
              <w:ind w:left="432" w:right="72"/>
            </w:pPr>
            <w:r w:rsidRPr="00F171DB">
              <w:t>Lays the foundation for a project that can be widely supported.</w:t>
            </w:r>
          </w:p>
          <w:p w:rsidR="00E111DD" w:rsidRPr="00F171DB" w:rsidRDefault="00E111DD" w:rsidP="00F171DB">
            <w:pPr>
              <w:pStyle w:val="ListParagraph"/>
              <w:numPr>
                <w:ilvl w:val="0"/>
                <w:numId w:val="1"/>
              </w:numPr>
              <w:spacing w:after="0" w:line="240" w:lineRule="auto"/>
              <w:ind w:left="432" w:right="72"/>
            </w:pPr>
            <w:r w:rsidRPr="00F171DB">
              <w:t>Ensures the needs of both the public and the project proponent are taken into account (when project proposal originates outside the agency)</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Proposed Action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Generates proposed action that most parties are able to live with.</w:t>
            </w:r>
          </w:p>
          <w:p w:rsidR="00E111DD" w:rsidRPr="00F171DB" w:rsidRDefault="00E111DD" w:rsidP="00F171DB">
            <w:pPr>
              <w:pStyle w:val="ListParagraph"/>
              <w:numPr>
                <w:ilvl w:val="0"/>
                <w:numId w:val="1"/>
              </w:numPr>
              <w:spacing w:after="0" w:line="240" w:lineRule="auto"/>
              <w:ind w:left="432" w:right="72"/>
            </w:pPr>
            <w:r w:rsidRPr="00F171DB">
              <w:t>Promotes the creation of the best possible proposed action.</w:t>
            </w:r>
          </w:p>
          <w:p w:rsidR="00E111DD" w:rsidRPr="00F171DB" w:rsidRDefault="00E111DD" w:rsidP="00F171DB">
            <w:pPr>
              <w:pStyle w:val="ListParagraph"/>
              <w:numPr>
                <w:ilvl w:val="0"/>
                <w:numId w:val="1"/>
              </w:numPr>
              <w:spacing w:after="0" w:line="240" w:lineRule="auto"/>
              <w:ind w:left="432" w:right="72"/>
            </w:pPr>
            <w:r w:rsidRPr="00F171DB">
              <w:t xml:space="preserve">Can potentially expedite the NEPA process. </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lastRenderedPageBreak/>
              <w:t>Scoping</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Facilitates identification of most substantial issues.</w:t>
            </w:r>
          </w:p>
          <w:p w:rsidR="00E111DD" w:rsidRPr="00F171DB" w:rsidRDefault="00E111DD" w:rsidP="00F171DB">
            <w:pPr>
              <w:pStyle w:val="ListParagraph"/>
              <w:numPr>
                <w:ilvl w:val="0"/>
                <w:numId w:val="1"/>
              </w:numPr>
              <w:spacing w:after="0" w:line="240" w:lineRule="auto"/>
              <w:ind w:left="432" w:right="72"/>
            </w:pPr>
            <w:r w:rsidRPr="00F171DB">
              <w:t>Helps to define project boundaries.</w:t>
            </w:r>
          </w:p>
          <w:p w:rsidR="00E111DD" w:rsidRPr="00F171DB" w:rsidRDefault="00E111DD" w:rsidP="00F171DB">
            <w:pPr>
              <w:pStyle w:val="ListParagraph"/>
              <w:numPr>
                <w:ilvl w:val="0"/>
                <w:numId w:val="1"/>
              </w:numPr>
              <w:spacing w:after="0" w:line="240" w:lineRule="auto"/>
              <w:ind w:left="432" w:right="72"/>
            </w:pPr>
            <w:r w:rsidRPr="00F171DB">
              <w:t>Can help determine realistic timelines for analysis.</w:t>
            </w:r>
          </w:p>
          <w:p w:rsidR="00E111DD" w:rsidRPr="00F171DB" w:rsidRDefault="00E111DD" w:rsidP="00F171DB">
            <w:pPr>
              <w:pStyle w:val="ListParagraph"/>
              <w:numPr>
                <w:ilvl w:val="0"/>
                <w:numId w:val="1"/>
              </w:numPr>
              <w:spacing w:after="0" w:line="240" w:lineRule="auto"/>
              <w:ind w:left="432" w:right="72"/>
            </w:pPr>
            <w:r w:rsidRPr="00F171DB">
              <w:t>Can illustrate gaps in resources and opportunities for collaboration.</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Alternatives</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Alternatives more likely to withstand external challenges.</w:t>
            </w:r>
          </w:p>
          <w:p w:rsidR="00E111DD" w:rsidRPr="00F171DB" w:rsidRDefault="00E111DD" w:rsidP="00F171DB">
            <w:pPr>
              <w:pStyle w:val="ListParagraph"/>
              <w:numPr>
                <w:ilvl w:val="0"/>
                <w:numId w:val="1"/>
              </w:numPr>
              <w:spacing w:after="0" w:line="240" w:lineRule="auto"/>
              <w:ind w:left="432" w:right="72"/>
            </w:pPr>
            <w:r w:rsidRPr="00F171DB">
              <w:t>Can reduce future conflicts.</w:t>
            </w:r>
          </w:p>
          <w:p w:rsidR="00E111DD" w:rsidRPr="00F171DB" w:rsidRDefault="00E111DD" w:rsidP="00F171DB">
            <w:pPr>
              <w:pStyle w:val="ListParagraph"/>
              <w:numPr>
                <w:ilvl w:val="0"/>
                <w:numId w:val="1"/>
              </w:numPr>
              <w:spacing w:after="0" w:line="240" w:lineRule="auto"/>
              <w:ind w:left="432" w:right="72"/>
            </w:pPr>
            <w:r w:rsidRPr="00F171DB">
              <w:t xml:space="preserve">Can potentially expedite the NEPA process.  </w:t>
            </w:r>
          </w:p>
          <w:p w:rsidR="00E111DD" w:rsidRPr="00F171DB" w:rsidRDefault="00E111DD" w:rsidP="00F171DB">
            <w:pPr>
              <w:pStyle w:val="ListParagraph"/>
              <w:numPr>
                <w:ilvl w:val="0"/>
                <w:numId w:val="1"/>
              </w:numPr>
              <w:spacing w:after="0" w:line="240" w:lineRule="auto"/>
              <w:ind w:left="432" w:right="72"/>
            </w:pPr>
            <w:r w:rsidRPr="00F171DB">
              <w:t>Can generate an alternative that minimizes negative effects and improves the existing conditions.</w:t>
            </w:r>
          </w:p>
          <w:p w:rsidR="00E111DD" w:rsidRPr="00F171DB" w:rsidRDefault="00E111DD" w:rsidP="00F171DB">
            <w:pPr>
              <w:pStyle w:val="ListParagraph"/>
              <w:numPr>
                <w:ilvl w:val="0"/>
                <w:numId w:val="1"/>
              </w:numPr>
              <w:spacing w:after="0" w:line="240" w:lineRule="auto"/>
              <w:ind w:left="432" w:right="72"/>
            </w:pPr>
            <w:r w:rsidRPr="00F171DB">
              <w:t>Can incorporate collaborative monitoring into the project design.</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Effects</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Increases mutual understanding of project its impacts.</w:t>
            </w:r>
          </w:p>
          <w:p w:rsidR="00E111DD" w:rsidRPr="00F171DB" w:rsidRDefault="00E111DD" w:rsidP="00F171DB">
            <w:pPr>
              <w:pStyle w:val="ListParagraph"/>
              <w:numPr>
                <w:ilvl w:val="0"/>
                <w:numId w:val="1"/>
              </w:numPr>
              <w:spacing w:after="0" w:line="240" w:lineRule="auto"/>
              <w:ind w:left="432" w:right="72"/>
            </w:pPr>
            <w:r w:rsidRPr="00F171DB">
              <w:t>Helpful when science is in dispute.</w:t>
            </w:r>
          </w:p>
          <w:p w:rsidR="00E111DD" w:rsidRPr="00F171DB" w:rsidRDefault="00E111DD" w:rsidP="00F171DB">
            <w:pPr>
              <w:pStyle w:val="ListParagraph"/>
              <w:numPr>
                <w:ilvl w:val="0"/>
                <w:numId w:val="1"/>
              </w:numPr>
              <w:spacing w:after="0" w:line="240" w:lineRule="auto"/>
              <w:ind w:left="432" w:right="72"/>
            </w:pPr>
            <w:r w:rsidRPr="00F171DB">
              <w:t>Maintains momentum and communication.</w:t>
            </w:r>
          </w:p>
          <w:p w:rsidR="00E111DD" w:rsidRPr="00F171DB" w:rsidRDefault="00E111DD" w:rsidP="00F171DB">
            <w:pPr>
              <w:pStyle w:val="ListParagraph"/>
              <w:numPr>
                <w:ilvl w:val="0"/>
                <w:numId w:val="1"/>
              </w:numPr>
              <w:spacing w:after="0" w:line="240" w:lineRule="auto"/>
              <w:ind w:left="432" w:right="72"/>
            </w:pPr>
            <w:r w:rsidRPr="00F171DB">
              <w:t>Improves credibility and legitimacy of analysis.</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vAlign w:val="center"/>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Height w:val="1835"/>
        </w:trPr>
        <w:tc>
          <w:tcPr>
            <w:tcW w:w="1908" w:type="dxa"/>
            <w:shd w:val="clear" w:color="auto" w:fill="E0D2A0"/>
            <w:vAlign w:val="center"/>
          </w:tcPr>
          <w:p w:rsidR="00E111DD" w:rsidRPr="00F171DB" w:rsidRDefault="00E111DD" w:rsidP="00F171DB">
            <w:pPr>
              <w:spacing w:after="0" w:line="240" w:lineRule="auto"/>
              <w:ind w:right="-720"/>
              <w:rPr>
                <w:b/>
              </w:rPr>
            </w:pPr>
            <w:r w:rsidRPr="00F171DB">
              <w:rPr>
                <w:b/>
              </w:rPr>
              <w:t>Objection</w:t>
            </w:r>
          </w:p>
        </w:tc>
        <w:tc>
          <w:tcPr>
            <w:tcW w:w="5130" w:type="dxa"/>
            <w:shd w:val="clear" w:color="auto" w:fill="EAE1C0"/>
          </w:tcPr>
          <w:p w:rsidR="00E111DD" w:rsidRPr="00F171DB" w:rsidRDefault="00E111DD" w:rsidP="00F171DB">
            <w:pPr>
              <w:pStyle w:val="ListParagraph"/>
              <w:spacing w:after="0" w:line="240" w:lineRule="auto"/>
              <w:ind w:left="432" w:right="72"/>
            </w:pPr>
          </w:p>
        </w:tc>
        <w:tc>
          <w:tcPr>
            <w:tcW w:w="1170" w:type="dxa"/>
            <w:shd w:val="clear" w:color="auto" w:fill="EAE1C0"/>
            <w:vAlign w:val="center"/>
          </w:tcPr>
          <w:p w:rsidR="00E111DD" w:rsidRPr="00F171DB" w:rsidRDefault="00E111DD" w:rsidP="00F171DB">
            <w:pPr>
              <w:spacing w:after="0" w:line="240" w:lineRule="auto"/>
              <w:ind w:right="72"/>
              <w:jc w:val="center"/>
              <w:rPr>
                <w:sz w:val="36"/>
                <w:szCs w:val="36"/>
              </w:rPr>
            </w:pPr>
          </w:p>
        </w:tc>
        <w:tc>
          <w:tcPr>
            <w:tcW w:w="1710" w:type="dxa"/>
            <w:shd w:val="clear" w:color="auto" w:fill="EAE1C0"/>
            <w:vAlign w:val="center"/>
          </w:tcPr>
          <w:p w:rsidR="00E111DD" w:rsidRPr="00F171DB" w:rsidRDefault="00E111DD" w:rsidP="00F171DB">
            <w:pPr>
              <w:spacing w:after="0" w:line="240" w:lineRule="auto"/>
              <w:ind w:right="72"/>
            </w:pPr>
          </w:p>
        </w:tc>
        <w:tc>
          <w:tcPr>
            <w:tcW w:w="2070" w:type="dxa"/>
            <w:shd w:val="clear" w:color="auto" w:fill="EAE1C0"/>
          </w:tcPr>
          <w:p w:rsidR="00E111DD" w:rsidRPr="00F171DB" w:rsidRDefault="00E111DD" w:rsidP="00F171DB">
            <w:pPr>
              <w:spacing w:after="0" w:line="240" w:lineRule="auto"/>
              <w:ind w:right="72"/>
            </w:pPr>
          </w:p>
        </w:tc>
        <w:tc>
          <w:tcPr>
            <w:tcW w:w="2520" w:type="dxa"/>
            <w:shd w:val="clear" w:color="auto" w:fill="EAE1C0"/>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lastRenderedPageBreak/>
              <w:t>Decision/</w:t>
            </w:r>
          </w:p>
          <w:p w:rsidR="00E111DD" w:rsidRPr="00F171DB" w:rsidRDefault="00E111DD" w:rsidP="00F171DB">
            <w:pPr>
              <w:spacing w:after="0" w:line="240" w:lineRule="auto"/>
              <w:ind w:right="-720"/>
              <w:rPr>
                <w:b/>
              </w:rPr>
            </w:pPr>
            <w:r w:rsidRPr="00F171DB">
              <w:rPr>
                <w:b/>
              </w:rPr>
              <w:t>Notification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Increased trust through clear communication of rationale and decision.</w:t>
            </w:r>
          </w:p>
          <w:p w:rsidR="00E111DD" w:rsidRPr="00F171DB" w:rsidRDefault="00E111DD" w:rsidP="00F171DB">
            <w:pPr>
              <w:pStyle w:val="ListParagraph"/>
              <w:numPr>
                <w:ilvl w:val="0"/>
                <w:numId w:val="1"/>
              </w:numPr>
              <w:spacing w:after="0" w:line="240" w:lineRule="auto"/>
              <w:ind w:left="432" w:right="72"/>
            </w:pPr>
            <w:r w:rsidRPr="00F171DB">
              <w:t>Tracks collaborative involvement through the process.</w:t>
            </w:r>
          </w:p>
          <w:p w:rsidR="00E111DD" w:rsidRPr="00F171DB" w:rsidRDefault="00E111DD" w:rsidP="00F171DB">
            <w:pPr>
              <w:pStyle w:val="ListParagraph"/>
              <w:numPr>
                <w:ilvl w:val="0"/>
                <w:numId w:val="1"/>
              </w:numPr>
              <w:spacing w:after="0" w:line="240" w:lineRule="auto"/>
              <w:ind w:left="432" w:right="72"/>
            </w:pPr>
            <w:r w:rsidRPr="00F171DB">
              <w:t>Opportunity to share successes and results with the community.</w:t>
            </w:r>
          </w:p>
          <w:p w:rsidR="00E111DD" w:rsidRPr="00F171DB" w:rsidRDefault="00E111DD" w:rsidP="00F171DB">
            <w:pPr>
              <w:pStyle w:val="ListParagraph"/>
              <w:numPr>
                <w:ilvl w:val="0"/>
                <w:numId w:val="1"/>
              </w:numPr>
              <w:spacing w:after="0" w:line="240" w:lineRule="auto"/>
              <w:ind w:left="432" w:right="72"/>
            </w:pPr>
            <w:r w:rsidRPr="00F171DB">
              <w:t>Increased legitimacy and acceptability of the decision.</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vAlign w:val="center"/>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Height w:val="2240"/>
        </w:trPr>
        <w:tc>
          <w:tcPr>
            <w:tcW w:w="1908" w:type="dxa"/>
            <w:shd w:val="clear" w:color="auto" w:fill="E0D2A0"/>
            <w:vAlign w:val="center"/>
          </w:tcPr>
          <w:p w:rsidR="00E111DD" w:rsidRPr="00F171DB" w:rsidRDefault="00E111DD" w:rsidP="00F171DB">
            <w:pPr>
              <w:spacing w:after="0" w:line="240" w:lineRule="auto"/>
              <w:ind w:right="-720"/>
              <w:rPr>
                <w:b/>
              </w:rPr>
            </w:pPr>
            <w:r w:rsidRPr="00F171DB">
              <w:rPr>
                <w:b/>
              </w:rPr>
              <w:t>Appeal</w:t>
            </w:r>
          </w:p>
        </w:tc>
        <w:tc>
          <w:tcPr>
            <w:tcW w:w="5130" w:type="dxa"/>
            <w:shd w:val="clear" w:color="auto" w:fill="EAE1C0"/>
          </w:tcPr>
          <w:p w:rsidR="00E111DD" w:rsidRPr="00F171DB" w:rsidRDefault="00E111DD" w:rsidP="00F171DB">
            <w:pPr>
              <w:pStyle w:val="ListParagraph"/>
              <w:spacing w:after="0" w:line="240" w:lineRule="auto"/>
              <w:ind w:left="432" w:right="72"/>
            </w:pPr>
          </w:p>
        </w:tc>
        <w:tc>
          <w:tcPr>
            <w:tcW w:w="1170" w:type="dxa"/>
            <w:shd w:val="clear" w:color="auto" w:fill="EAE1C0"/>
            <w:vAlign w:val="center"/>
          </w:tcPr>
          <w:p w:rsidR="00E111DD" w:rsidRPr="00F171DB" w:rsidRDefault="00E111DD" w:rsidP="00F171DB">
            <w:pPr>
              <w:spacing w:after="0" w:line="240" w:lineRule="auto"/>
              <w:ind w:right="72"/>
              <w:jc w:val="center"/>
              <w:rPr>
                <w:sz w:val="36"/>
                <w:szCs w:val="36"/>
              </w:rPr>
            </w:pPr>
          </w:p>
        </w:tc>
        <w:tc>
          <w:tcPr>
            <w:tcW w:w="1710" w:type="dxa"/>
            <w:shd w:val="clear" w:color="auto" w:fill="EAE1C0"/>
            <w:vAlign w:val="center"/>
          </w:tcPr>
          <w:p w:rsidR="00E111DD" w:rsidRPr="00F171DB" w:rsidRDefault="00E111DD" w:rsidP="00F171DB">
            <w:pPr>
              <w:spacing w:after="0" w:line="240" w:lineRule="auto"/>
              <w:ind w:right="72"/>
            </w:pPr>
          </w:p>
        </w:tc>
        <w:tc>
          <w:tcPr>
            <w:tcW w:w="2070" w:type="dxa"/>
            <w:shd w:val="clear" w:color="auto" w:fill="EAE1C0"/>
          </w:tcPr>
          <w:p w:rsidR="00E111DD" w:rsidRPr="00F171DB" w:rsidRDefault="00E111DD" w:rsidP="00F171DB">
            <w:pPr>
              <w:spacing w:after="0" w:line="240" w:lineRule="auto"/>
              <w:ind w:right="72"/>
            </w:pPr>
          </w:p>
        </w:tc>
        <w:tc>
          <w:tcPr>
            <w:tcW w:w="2520" w:type="dxa"/>
            <w:shd w:val="clear" w:color="auto" w:fill="EAE1C0"/>
          </w:tcPr>
          <w:p w:rsidR="00E111DD" w:rsidRPr="00F171DB" w:rsidRDefault="00E111DD" w:rsidP="00F171DB">
            <w:pPr>
              <w:spacing w:after="0" w:line="240" w:lineRule="auto"/>
              <w:ind w:right="72"/>
            </w:pPr>
          </w:p>
        </w:tc>
      </w:tr>
      <w:tr w:rsidR="00E111DD" w:rsidRPr="00F171DB" w:rsidTr="00F171DB">
        <w:trPr>
          <w:cantSplit/>
          <w:trHeight w:val="2492"/>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Implementation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Builds trust.</w:t>
            </w:r>
          </w:p>
          <w:p w:rsidR="00E111DD" w:rsidRPr="00F171DB" w:rsidRDefault="00E111DD" w:rsidP="00F171DB">
            <w:pPr>
              <w:pStyle w:val="ListParagraph"/>
              <w:numPr>
                <w:ilvl w:val="0"/>
                <w:numId w:val="1"/>
              </w:numPr>
              <w:spacing w:after="0" w:line="240" w:lineRule="auto"/>
              <w:ind w:left="432" w:right="72"/>
            </w:pPr>
            <w:r w:rsidRPr="00F171DB">
              <w:t>Beneficial for projects on units with previous implementation issues or litigation.</w:t>
            </w:r>
          </w:p>
          <w:p w:rsidR="00E111DD" w:rsidRPr="00F171DB" w:rsidRDefault="00E111DD" w:rsidP="00F171DB">
            <w:pPr>
              <w:pStyle w:val="ListParagraph"/>
              <w:numPr>
                <w:ilvl w:val="0"/>
                <w:numId w:val="1"/>
              </w:numPr>
              <w:spacing w:after="0" w:line="240" w:lineRule="auto"/>
              <w:ind w:left="432" w:right="72"/>
            </w:pPr>
            <w:r w:rsidRPr="00F171DB">
              <w:t>Can generate additional funding.</w:t>
            </w:r>
          </w:p>
          <w:p w:rsidR="00E111DD" w:rsidRPr="00F171DB" w:rsidRDefault="00E111DD" w:rsidP="00F171DB">
            <w:pPr>
              <w:pStyle w:val="ListParagraph"/>
              <w:numPr>
                <w:ilvl w:val="0"/>
                <w:numId w:val="1"/>
              </w:numPr>
              <w:spacing w:after="0" w:line="240" w:lineRule="auto"/>
              <w:ind w:left="432" w:right="72"/>
            </w:pPr>
            <w:r w:rsidRPr="00F171DB">
              <w:t xml:space="preserve">Reinforces relationships made during planning. </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lastRenderedPageBreak/>
              <w:t>Monitoring</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Builds trust.</w:t>
            </w:r>
          </w:p>
          <w:p w:rsidR="00E111DD" w:rsidRPr="00F171DB" w:rsidRDefault="00E111DD" w:rsidP="00F171DB">
            <w:pPr>
              <w:pStyle w:val="ListParagraph"/>
              <w:numPr>
                <w:ilvl w:val="0"/>
                <w:numId w:val="1"/>
              </w:numPr>
              <w:spacing w:after="0" w:line="240" w:lineRule="auto"/>
              <w:ind w:left="432" w:right="72"/>
            </w:pPr>
            <w:r w:rsidRPr="00F171DB">
              <w:t>Helpful when science is in dispute.</w:t>
            </w:r>
          </w:p>
          <w:p w:rsidR="00E111DD" w:rsidRPr="00F171DB" w:rsidRDefault="00E111DD" w:rsidP="00F171DB">
            <w:pPr>
              <w:pStyle w:val="ListParagraph"/>
              <w:numPr>
                <w:ilvl w:val="0"/>
                <w:numId w:val="1"/>
              </w:numPr>
              <w:spacing w:after="0" w:line="240" w:lineRule="auto"/>
              <w:ind w:left="432" w:right="72"/>
            </w:pPr>
            <w:r w:rsidRPr="00F171DB">
              <w:t>Can generate additional funding.</w:t>
            </w:r>
          </w:p>
          <w:p w:rsidR="00E111DD" w:rsidRPr="00F171DB" w:rsidRDefault="00E111DD" w:rsidP="00F171DB">
            <w:pPr>
              <w:pStyle w:val="ListParagraph"/>
              <w:numPr>
                <w:ilvl w:val="0"/>
                <w:numId w:val="1"/>
              </w:numPr>
              <w:spacing w:after="0" w:line="240" w:lineRule="auto"/>
              <w:ind w:left="432" w:right="72"/>
            </w:pPr>
            <w:r w:rsidRPr="00F171DB">
              <w:t>Increased efficiency through the sharing of personnel and equipment.</w:t>
            </w:r>
          </w:p>
          <w:p w:rsidR="00E111DD" w:rsidRPr="00F171DB" w:rsidRDefault="00E111DD" w:rsidP="00F171DB">
            <w:pPr>
              <w:pStyle w:val="ListParagraph"/>
              <w:numPr>
                <w:ilvl w:val="0"/>
                <w:numId w:val="1"/>
              </w:numPr>
              <w:spacing w:after="0" w:line="240" w:lineRule="auto"/>
              <w:ind w:left="432" w:right="72"/>
            </w:pPr>
            <w:r w:rsidRPr="00F171DB">
              <w:t>Increased efficiency through the sharing of data.</w:t>
            </w:r>
          </w:p>
          <w:p w:rsidR="00E111DD" w:rsidRPr="00F171DB" w:rsidRDefault="00E111DD" w:rsidP="00F171DB">
            <w:pPr>
              <w:pStyle w:val="ListParagraph"/>
              <w:numPr>
                <w:ilvl w:val="0"/>
                <w:numId w:val="1"/>
              </w:numPr>
              <w:spacing w:after="0" w:line="240" w:lineRule="auto"/>
              <w:ind w:left="432" w:right="72"/>
            </w:pPr>
            <w:r w:rsidRPr="00F171DB">
              <w:t>Important when adaptive management is utilized.</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Evaluation</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Builds shared knowledge base.</w:t>
            </w:r>
          </w:p>
          <w:p w:rsidR="00E111DD" w:rsidRPr="00F171DB" w:rsidRDefault="00E111DD" w:rsidP="00F171DB">
            <w:pPr>
              <w:pStyle w:val="ListParagraph"/>
              <w:numPr>
                <w:ilvl w:val="0"/>
                <w:numId w:val="1"/>
              </w:numPr>
              <w:spacing w:after="0" w:line="240" w:lineRule="auto"/>
              <w:ind w:left="432" w:right="72"/>
            </w:pPr>
            <w:r w:rsidRPr="00F171DB">
              <w:t>Smoothes future interaction between the collaborative group and agency.</w:t>
            </w:r>
          </w:p>
          <w:p w:rsidR="00E111DD" w:rsidRPr="00F171DB" w:rsidRDefault="00E111DD" w:rsidP="00F171DB">
            <w:pPr>
              <w:pStyle w:val="ListParagraph"/>
              <w:numPr>
                <w:ilvl w:val="0"/>
                <w:numId w:val="1"/>
              </w:numPr>
              <w:spacing w:after="0" w:line="240" w:lineRule="auto"/>
              <w:ind w:left="432" w:right="72"/>
            </w:pPr>
            <w:r w:rsidRPr="00F171DB">
              <w:t>Emphasizes mutual learning.</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r w:rsidR="00E111DD" w:rsidRPr="00F171DB" w:rsidTr="00F171DB">
        <w:trPr>
          <w:cantSplit/>
        </w:trPr>
        <w:tc>
          <w:tcPr>
            <w:tcW w:w="1908" w:type="dxa"/>
            <w:shd w:val="clear" w:color="auto" w:fill="D6E3BC"/>
            <w:vAlign w:val="center"/>
          </w:tcPr>
          <w:p w:rsidR="00E111DD" w:rsidRPr="00F171DB" w:rsidRDefault="00E111DD" w:rsidP="00F171DB">
            <w:pPr>
              <w:spacing w:after="0" w:line="240" w:lineRule="auto"/>
              <w:ind w:right="-720"/>
              <w:rPr>
                <w:b/>
              </w:rPr>
            </w:pPr>
            <w:r w:rsidRPr="00F171DB">
              <w:rPr>
                <w:b/>
              </w:rPr>
              <w:t>Adjustment</w:t>
            </w:r>
          </w:p>
        </w:tc>
        <w:tc>
          <w:tcPr>
            <w:tcW w:w="5130" w:type="dxa"/>
            <w:shd w:val="clear" w:color="auto" w:fill="auto"/>
          </w:tcPr>
          <w:p w:rsidR="00E111DD" w:rsidRPr="00F171DB" w:rsidRDefault="00E111DD" w:rsidP="00F171DB">
            <w:pPr>
              <w:pStyle w:val="ListParagraph"/>
              <w:numPr>
                <w:ilvl w:val="0"/>
                <w:numId w:val="1"/>
              </w:numPr>
              <w:spacing w:after="0" w:line="240" w:lineRule="auto"/>
              <w:ind w:left="432" w:right="72"/>
            </w:pPr>
            <w:r w:rsidRPr="00F171DB">
              <w:t>Better decisions, better collaborative process.</w:t>
            </w:r>
          </w:p>
          <w:p w:rsidR="00E111DD" w:rsidRPr="00F171DB" w:rsidRDefault="00E111DD" w:rsidP="00F171DB">
            <w:pPr>
              <w:pStyle w:val="ListParagraph"/>
              <w:numPr>
                <w:ilvl w:val="0"/>
                <w:numId w:val="1"/>
              </w:numPr>
              <w:spacing w:after="0" w:line="240" w:lineRule="auto"/>
              <w:ind w:left="432" w:right="72"/>
            </w:pPr>
            <w:r w:rsidRPr="00F171DB">
              <w:t>Promotes a culture of learning and adaptation.</w:t>
            </w:r>
          </w:p>
          <w:p w:rsidR="00E111DD" w:rsidRPr="00F171DB" w:rsidRDefault="00E111DD" w:rsidP="00F171DB">
            <w:pPr>
              <w:pStyle w:val="ListParagraph"/>
              <w:numPr>
                <w:ilvl w:val="0"/>
                <w:numId w:val="1"/>
              </w:numPr>
              <w:spacing w:after="0" w:line="240" w:lineRule="auto"/>
              <w:ind w:left="432" w:right="72"/>
            </w:pPr>
            <w:r w:rsidRPr="00F171DB">
              <w:t>Increases individual, community, collaborative group and agency capacity.</w:t>
            </w:r>
          </w:p>
        </w:tc>
        <w:tc>
          <w:tcPr>
            <w:tcW w:w="1170" w:type="dxa"/>
            <w:shd w:val="clear" w:color="auto" w:fill="auto"/>
            <w:vAlign w:val="center"/>
          </w:tcPr>
          <w:p w:rsidR="00E111DD" w:rsidRPr="00F171DB" w:rsidRDefault="00E111DD" w:rsidP="00F171DB">
            <w:pPr>
              <w:spacing w:after="0" w:line="240" w:lineRule="auto"/>
              <w:ind w:right="72"/>
              <w:jc w:val="center"/>
              <w:rPr>
                <w:sz w:val="36"/>
                <w:szCs w:val="36"/>
              </w:rPr>
            </w:pPr>
            <w:r w:rsidRPr="00F171DB">
              <w:rPr>
                <w:sz w:val="36"/>
                <w:szCs w:val="36"/>
              </w:rPr>
              <w:sym w:font="Symbol" w:char="F0A0"/>
            </w:r>
          </w:p>
        </w:tc>
        <w:tc>
          <w:tcPr>
            <w:tcW w:w="1710" w:type="dxa"/>
            <w:shd w:val="clear" w:color="auto" w:fill="auto"/>
          </w:tcPr>
          <w:p w:rsidR="00E111DD" w:rsidRPr="00F171DB" w:rsidRDefault="00E111DD" w:rsidP="00F171DB">
            <w:pPr>
              <w:spacing w:after="0" w:line="240" w:lineRule="auto"/>
              <w:ind w:right="72"/>
            </w:pPr>
          </w:p>
        </w:tc>
        <w:tc>
          <w:tcPr>
            <w:tcW w:w="2070" w:type="dxa"/>
            <w:shd w:val="clear" w:color="auto" w:fill="auto"/>
          </w:tcPr>
          <w:p w:rsidR="00E111DD" w:rsidRPr="00F171DB" w:rsidRDefault="00E111DD" w:rsidP="00F171DB">
            <w:pPr>
              <w:spacing w:after="0" w:line="240" w:lineRule="auto"/>
              <w:ind w:right="72"/>
            </w:pPr>
          </w:p>
        </w:tc>
        <w:tc>
          <w:tcPr>
            <w:tcW w:w="2520" w:type="dxa"/>
            <w:shd w:val="clear" w:color="auto" w:fill="auto"/>
          </w:tcPr>
          <w:p w:rsidR="00E111DD" w:rsidRPr="00F171DB" w:rsidRDefault="00E111DD" w:rsidP="00F171DB">
            <w:pPr>
              <w:spacing w:after="0" w:line="240" w:lineRule="auto"/>
              <w:ind w:right="72"/>
            </w:pPr>
          </w:p>
        </w:tc>
      </w:tr>
    </w:tbl>
    <w:p w:rsidR="00E111DD" w:rsidRDefault="00E111DD" w:rsidP="00E111DD">
      <w:pPr>
        <w:ind w:left="-720"/>
        <w:rPr>
          <w:b/>
          <w:u w:val="single"/>
        </w:rPr>
      </w:pPr>
    </w:p>
    <w:p w:rsidR="00E111DD" w:rsidRDefault="00E111DD" w:rsidP="00E111DD">
      <w:pPr>
        <w:rPr>
          <w:b/>
          <w:u w:val="single"/>
        </w:rPr>
      </w:pPr>
      <w:r>
        <w:rPr>
          <w:b/>
          <w:u w:val="single"/>
        </w:rPr>
        <w:br w:type="page"/>
      </w: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2"/>
          <w:szCs w:val="42"/>
        </w:rPr>
      </w:pPr>
      <w:r>
        <w:rPr>
          <w:rFonts w:ascii="Knockout-HTF68-FullFeatherwt" w:hAnsi="Knockout-HTF68-FullFeatherwt" w:cs="Knockout-HTF68-FullFeatherwt"/>
          <w:color w:val="000000"/>
          <w:sz w:val="42"/>
          <w:szCs w:val="42"/>
        </w:rPr>
        <w:lastRenderedPageBreak/>
        <w:t>Tips for Your Trip:</w:t>
      </w: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Plan your trip before hitting the road.  </w:t>
      </w:r>
      <w:r w:rsidRPr="009E5AC7">
        <w:rPr>
          <w:rFonts w:cs="Minion-Regular"/>
          <w:color w:val="000000"/>
          <w:sz w:val="25"/>
          <w:szCs w:val="25"/>
        </w:rPr>
        <w:t>Work together early to adapt and complete this worksheet for your specific project.</w:t>
      </w:r>
    </w:p>
    <w:p w:rsidR="00E111DD" w:rsidRPr="009E5AC7" w:rsidRDefault="00E111DD" w:rsidP="00E111DD">
      <w:pPr>
        <w:autoSpaceDE w:val="0"/>
        <w:autoSpaceDN w:val="0"/>
        <w:adjustRightInd w:val="0"/>
        <w:spacing w:after="0" w:line="240" w:lineRule="auto"/>
        <w:rPr>
          <w:rFonts w:cs="Minion-Black"/>
          <w:color w:val="657E25"/>
          <w:sz w:val="25"/>
          <w:szCs w:val="25"/>
        </w:rPr>
      </w:pP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Share the map. </w:t>
      </w:r>
      <w:r w:rsidRPr="009E5AC7">
        <w:rPr>
          <w:rFonts w:cs="Minion-Regular"/>
          <w:color w:val="000000"/>
          <w:sz w:val="25"/>
          <w:szCs w:val="25"/>
        </w:rPr>
        <w:t>Make the Roadmap Worksheet available to those involved in the process.</w:t>
      </w:r>
    </w:p>
    <w:p w:rsidR="00E111DD" w:rsidRPr="009E5AC7" w:rsidRDefault="00E111DD" w:rsidP="00E111DD">
      <w:pPr>
        <w:autoSpaceDE w:val="0"/>
        <w:autoSpaceDN w:val="0"/>
        <w:adjustRightInd w:val="0"/>
        <w:spacing w:after="0" w:line="240" w:lineRule="auto"/>
        <w:rPr>
          <w:rFonts w:cs="Minion-Black"/>
          <w:color w:val="657E25"/>
          <w:sz w:val="25"/>
          <w:szCs w:val="25"/>
        </w:rPr>
      </w:pP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Use waypoints. </w:t>
      </w:r>
      <w:r w:rsidRPr="009E5AC7">
        <w:rPr>
          <w:rFonts w:cs="Minion-Regular"/>
          <w:color w:val="000000"/>
          <w:sz w:val="25"/>
          <w:szCs w:val="25"/>
        </w:rPr>
        <w:t>Consider adding a column to the Roadmap Worksheet to identify milestones, timelines and outputs. This information (particularly with respect to outputs of collaboration) can be used by the Interdisciplinary Team to track collaborative input through the project.</w:t>
      </w:r>
    </w:p>
    <w:p w:rsidR="00E111DD" w:rsidRPr="009E5AC7" w:rsidRDefault="00E111DD" w:rsidP="00E111DD">
      <w:pPr>
        <w:autoSpaceDE w:val="0"/>
        <w:autoSpaceDN w:val="0"/>
        <w:adjustRightInd w:val="0"/>
        <w:spacing w:after="0" w:line="240" w:lineRule="auto"/>
        <w:rPr>
          <w:rFonts w:cs="Minion-Regular"/>
          <w:color w:val="000000"/>
          <w:sz w:val="25"/>
          <w:szCs w:val="25"/>
        </w:rPr>
      </w:pP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Identify the destination. </w:t>
      </w:r>
      <w:r w:rsidRPr="009E5AC7">
        <w:rPr>
          <w:rFonts w:cs="Minion-Regular"/>
          <w:color w:val="000000"/>
          <w:sz w:val="25"/>
          <w:szCs w:val="25"/>
        </w:rPr>
        <w:t>Stakeholders want to know how their input will be utilized in the decision process. Both collaborative groups and the agency should give thought to their expectations and work to explore a mutual understanding of how the products of collaboration will be used. A column could be added to the Roadmap Worksheet for this purpose.</w:t>
      </w:r>
    </w:p>
    <w:p w:rsidR="00E111DD" w:rsidRPr="009E5AC7" w:rsidRDefault="00E111DD" w:rsidP="00E111DD">
      <w:pPr>
        <w:autoSpaceDE w:val="0"/>
        <w:autoSpaceDN w:val="0"/>
        <w:adjustRightInd w:val="0"/>
        <w:spacing w:after="0" w:line="240" w:lineRule="auto"/>
        <w:rPr>
          <w:rFonts w:cs="Minion-Black"/>
          <w:color w:val="657E25"/>
          <w:sz w:val="25"/>
          <w:szCs w:val="25"/>
        </w:rPr>
      </w:pP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Don’t be afraid to take the scenic route. </w:t>
      </w:r>
      <w:r w:rsidRPr="009E5AC7">
        <w:rPr>
          <w:rFonts w:cs="Minion-Regular"/>
          <w:color w:val="000000"/>
          <w:sz w:val="25"/>
          <w:szCs w:val="25"/>
        </w:rPr>
        <w:t>The Roadmap Worksheet should be considered a starting point. It is not the only way to shape collaboration during the NEPA process. Be creative and innovative while communicating the process and expectations to those involved.</w:t>
      </w:r>
    </w:p>
    <w:p w:rsidR="00E111DD" w:rsidRPr="009E5AC7" w:rsidRDefault="00E111DD" w:rsidP="00E111DD">
      <w:pPr>
        <w:autoSpaceDE w:val="0"/>
        <w:autoSpaceDN w:val="0"/>
        <w:adjustRightInd w:val="0"/>
        <w:spacing w:after="0" w:line="240" w:lineRule="auto"/>
        <w:rPr>
          <w:rFonts w:cs="Minion-Black"/>
          <w:color w:val="657E25"/>
          <w:sz w:val="25"/>
          <w:szCs w:val="25"/>
        </w:rPr>
      </w:pPr>
    </w:p>
    <w:p w:rsidR="00E111DD" w:rsidRPr="009E5AC7" w:rsidRDefault="00E111DD" w:rsidP="00E111DD">
      <w:pPr>
        <w:autoSpaceDE w:val="0"/>
        <w:autoSpaceDN w:val="0"/>
        <w:adjustRightInd w:val="0"/>
        <w:spacing w:after="0" w:line="240" w:lineRule="auto"/>
        <w:rPr>
          <w:rFonts w:cs="Minion-Regular"/>
          <w:color w:val="000000"/>
          <w:sz w:val="25"/>
          <w:szCs w:val="25"/>
        </w:rPr>
      </w:pPr>
      <w:r w:rsidRPr="009E5AC7">
        <w:rPr>
          <w:rFonts w:cs="Minion-Black"/>
          <w:color w:val="657E25"/>
          <w:sz w:val="25"/>
          <w:szCs w:val="25"/>
        </w:rPr>
        <w:t xml:space="preserve">Ask for directions if you need them. </w:t>
      </w:r>
      <w:r w:rsidRPr="009E5AC7">
        <w:rPr>
          <w:rFonts w:cs="Minion-Regular"/>
          <w:color w:val="000000"/>
          <w:sz w:val="25"/>
          <w:szCs w:val="25"/>
        </w:rPr>
        <w:t xml:space="preserve">There are a number of resources available to help. See </w:t>
      </w:r>
      <w:r w:rsidRPr="009E5AC7">
        <w:rPr>
          <w:rFonts w:cs="Minion-Regular"/>
          <w:color w:val="0000FF"/>
          <w:sz w:val="25"/>
          <w:szCs w:val="25"/>
        </w:rPr>
        <w:t xml:space="preserve">Collaboration </w:t>
      </w:r>
      <w:r w:rsidRPr="009E5AC7">
        <w:rPr>
          <w:rFonts w:cs="Minion-Regular"/>
          <w:color w:val="000000"/>
          <w:sz w:val="25"/>
          <w:szCs w:val="25"/>
        </w:rPr>
        <w:t>in the Toolbox for more information.</w:t>
      </w:r>
    </w:p>
    <w:p w:rsidR="00E111DD" w:rsidRPr="009E5AC7" w:rsidRDefault="00E111DD" w:rsidP="00E111DD">
      <w:pPr>
        <w:autoSpaceDE w:val="0"/>
        <w:autoSpaceDN w:val="0"/>
        <w:adjustRightInd w:val="0"/>
        <w:spacing w:after="0" w:line="240" w:lineRule="auto"/>
        <w:rPr>
          <w:rFonts w:cs="Minion-Black"/>
          <w:color w:val="657E25"/>
          <w:sz w:val="25"/>
          <w:szCs w:val="25"/>
        </w:rPr>
      </w:pPr>
    </w:p>
    <w:p w:rsidR="00E111DD" w:rsidRPr="009E5AC7" w:rsidRDefault="00E111DD" w:rsidP="00E111DD">
      <w:pPr>
        <w:autoSpaceDE w:val="0"/>
        <w:autoSpaceDN w:val="0"/>
        <w:adjustRightInd w:val="0"/>
        <w:spacing w:after="0" w:line="240" w:lineRule="auto"/>
      </w:pPr>
      <w:r w:rsidRPr="009E5AC7">
        <w:rPr>
          <w:rFonts w:cs="Minion-Black"/>
          <w:color w:val="657E25"/>
          <w:sz w:val="25"/>
          <w:szCs w:val="25"/>
        </w:rPr>
        <w:t xml:space="preserve">Check-in along the way. </w:t>
      </w:r>
      <w:r w:rsidRPr="009E5AC7">
        <w:rPr>
          <w:rFonts w:cs="Minion-Regular"/>
          <w:color w:val="000000"/>
          <w:sz w:val="25"/>
          <w:szCs w:val="25"/>
        </w:rPr>
        <w:t>Just because you planned to use a specific tool before you started your collaborative process doesn’t mean that tool will be appropriate when you finally reach that point in the journey. Check-in with participants and don’t be afraid to revise the Roadmap as your process and needs evolve.</w:t>
      </w:r>
    </w:p>
    <w:p w:rsidR="00E111DD" w:rsidRDefault="00E111DD">
      <w:r>
        <w:br w:type="page"/>
      </w:r>
    </w:p>
    <w:p w:rsidR="00E111DD" w:rsidRDefault="00141A2A"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r>
        <w:rPr>
          <w:noProof/>
        </w:rPr>
        <w:lastRenderedPageBreak/>
        <mc:AlternateContent>
          <mc:Choice Requires="wps">
            <w:drawing>
              <wp:anchor distT="0" distB="0" distL="114300" distR="114300" simplePos="0" relativeHeight="251657728" behindDoc="1" locked="0" layoutInCell="1" allowOverlap="1">
                <wp:simplePos x="0" y="0"/>
                <wp:positionH relativeFrom="column">
                  <wp:posOffset>-63500</wp:posOffset>
                </wp:positionH>
                <wp:positionV relativeFrom="paragraph">
                  <wp:posOffset>-31750</wp:posOffset>
                </wp:positionV>
                <wp:extent cx="6360795" cy="5211445"/>
                <wp:effectExtent l="0" t="0" r="1905" b="825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795" cy="5211445"/>
                        </a:xfrm>
                        <a:prstGeom prst="rect">
                          <a:avLst/>
                        </a:prstGeom>
                        <a:solidFill>
                          <a:srgbClr val="9BBB59">
                            <a:lumMod val="20000"/>
                            <a:lumOff val="8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pt;margin-top:-2.5pt;width:500.85pt;height:4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" fillcolor="#ebf1de"/>
            </w:pict>
          </mc:Fallback>
        </mc:AlternateContent>
      </w:r>
      <w:r w:rsidR="00E111DD">
        <w:rPr>
          <w:rFonts w:ascii="Knockout-HTF68-FullFeatherwt" w:hAnsi="Knockout-HTF68-FullFeatherwt" w:cs="Knockout-HTF68-FullFeatherwt"/>
          <w:color w:val="000000"/>
          <w:sz w:val="40"/>
          <w:szCs w:val="40"/>
        </w:rPr>
        <w:t>For agencies, collaboration can improve:</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1. Relationships, understanding, and support among agencies and between agencies and the public</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2. Decisions and the ability to get work done</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3. The planning, assessment, and conducting of project across boundaries and resources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4. Project effectiveness and efficiency</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5. Job satisfaction of employees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6. Opportunities for leveraging funding and enhancing institutional capacity</w:t>
      </w: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r>
        <w:rPr>
          <w:rFonts w:ascii="Knockout-HTF68-FullFeatherwt" w:hAnsi="Knockout-HTF68-FullFeatherwt" w:cs="Knockout-HTF68-FullFeatherwt"/>
          <w:color w:val="000000"/>
          <w:sz w:val="40"/>
          <w:szCs w:val="40"/>
        </w:rPr>
        <w:t>For communities, collaboration can:</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1. Reinforce democratic values and civic culture</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2. Build capacity, networks, and relationships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3. Enhance an ethic of stewardship and collective responsibility</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4. Connect natural resources to community needs</w:t>
      </w: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r>
        <w:rPr>
          <w:rFonts w:ascii="Knockout-HTF68-FullFeatherwt" w:hAnsi="Knockout-HTF68-FullFeatherwt" w:cs="Knockout-HTF68-FullFeatherwt"/>
          <w:color w:val="000000"/>
          <w:sz w:val="40"/>
          <w:szCs w:val="40"/>
        </w:rPr>
        <w:t>For individuals, collaboration can:</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1. Advance self-interests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2. Make one’s surrounding neighborhood healthier and safer</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3. Increase one’s ability to define problems and craft solutions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4. Provide access to resources (money, equipment and technology) for fuel reduction</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5. Facilitate learning about fire risk and mitigation possibilities</w:t>
      </w: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r>
        <w:rPr>
          <w:rFonts w:ascii="Knockout-HTF68-FullFeatherwt" w:hAnsi="Knockout-HTF68-FullFeatherwt" w:cs="Knockout-HTF68-FullFeatherwt"/>
          <w:color w:val="000000"/>
          <w:sz w:val="40"/>
          <w:szCs w:val="40"/>
        </w:rPr>
        <w:t>For a society interested in sustainable natural resource</w:t>
      </w:r>
    </w:p>
    <w:p w:rsidR="00E111DD" w:rsidRDefault="00E111DD" w:rsidP="00E111DD">
      <w:pPr>
        <w:autoSpaceDE w:val="0"/>
        <w:autoSpaceDN w:val="0"/>
        <w:adjustRightInd w:val="0"/>
        <w:spacing w:after="0" w:line="240" w:lineRule="auto"/>
        <w:rPr>
          <w:rFonts w:ascii="Knockout-HTF68-FullFeatherwt" w:hAnsi="Knockout-HTF68-FullFeatherwt" w:cs="Knockout-HTF68-FullFeatherwt"/>
          <w:color w:val="000000"/>
          <w:sz w:val="40"/>
          <w:szCs w:val="40"/>
        </w:rPr>
      </w:pPr>
      <w:proofErr w:type="gramStart"/>
      <w:r>
        <w:rPr>
          <w:rFonts w:ascii="Knockout-HTF68-FullFeatherwt" w:hAnsi="Knockout-HTF68-FullFeatherwt" w:cs="Knockout-HTF68-FullFeatherwt"/>
          <w:color w:val="000000"/>
          <w:sz w:val="40"/>
          <w:szCs w:val="40"/>
        </w:rPr>
        <w:t>management</w:t>
      </w:r>
      <w:proofErr w:type="gramEnd"/>
      <w:r>
        <w:rPr>
          <w:rFonts w:ascii="Knockout-HTF68-FullFeatherwt" w:hAnsi="Knockout-HTF68-FullFeatherwt" w:cs="Knockout-HTF68-FullFeatherwt"/>
          <w:color w:val="000000"/>
          <w:sz w:val="40"/>
          <w:szCs w:val="40"/>
        </w:rPr>
        <w:t xml:space="preserve"> and use, collaboration can:</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1. Produce more environmentally sound and ecologically integrated decisions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2. Bring innovative and longer term solutions</w:t>
      </w:r>
    </w:p>
    <w:p w:rsidR="00E111DD" w:rsidRDefault="00E111DD" w:rsidP="00E111DD">
      <w:pPr>
        <w:autoSpaceDE w:val="0"/>
        <w:autoSpaceDN w:val="0"/>
        <w:adjustRightInd w:val="0"/>
        <w:spacing w:after="0" w:line="240" w:lineRule="auto"/>
        <w:rPr>
          <w:rFonts w:ascii="Helvetica-Narrow" w:hAnsi="Helvetica-Narrow" w:cs="Helvetica-Narrow"/>
          <w:color w:val="000000"/>
          <w:sz w:val="18"/>
          <w:szCs w:val="18"/>
        </w:rPr>
      </w:pPr>
      <w:r>
        <w:rPr>
          <w:rFonts w:ascii="Helvetica-Narrow" w:hAnsi="Helvetica-Narrow" w:cs="Helvetica-Narrow"/>
          <w:color w:val="000000"/>
          <w:sz w:val="18"/>
          <w:szCs w:val="18"/>
        </w:rPr>
        <w:t>3. Create environmental gains beyond the minimum standards required by laws or policies</w:t>
      </w:r>
    </w:p>
    <w:p w:rsidR="00E111DD" w:rsidRDefault="00E111DD" w:rsidP="00E111DD">
      <w:pPr>
        <w:ind w:left="7200" w:firstLine="720"/>
        <w:rPr>
          <w:rFonts w:ascii="Helvetica-Narrow" w:hAnsi="Helvetica-Narrow" w:cs="Helvetica-Narrow"/>
          <w:color w:val="000000"/>
          <w:sz w:val="18"/>
          <w:szCs w:val="18"/>
        </w:rPr>
      </w:pPr>
    </w:p>
    <w:p w:rsidR="00543464" w:rsidRDefault="00E111DD" w:rsidP="00A62663">
      <w:pPr>
        <w:ind w:left="7200" w:firstLine="720"/>
      </w:pPr>
      <w:proofErr w:type="spellStart"/>
      <w:r>
        <w:rPr>
          <w:rFonts w:ascii="Helvetica-Narrow" w:hAnsi="Helvetica-Narrow" w:cs="Helvetica-Narrow"/>
          <w:color w:val="000000"/>
          <w:sz w:val="18"/>
          <w:szCs w:val="18"/>
        </w:rPr>
        <w:t>Sturlevant</w:t>
      </w:r>
      <w:proofErr w:type="spellEnd"/>
      <w:r>
        <w:rPr>
          <w:rFonts w:ascii="Helvetica-Narrow" w:hAnsi="Helvetica-Narrow" w:cs="Helvetica-Narrow"/>
          <w:color w:val="000000"/>
          <w:sz w:val="18"/>
          <w:szCs w:val="18"/>
        </w:rPr>
        <w:t xml:space="preserve"> et al., 2005</w:t>
      </w:r>
      <w:r w:rsidR="00A62663">
        <w:rPr>
          <w:rFonts w:ascii="Helvetica-Narrow" w:hAnsi="Helvetica-Narrow" w:cs="Helvetica-Narrow"/>
          <w:color w:val="000000"/>
          <w:sz w:val="18"/>
          <w:szCs w:val="18"/>
        </w:rPr>
        <w:tab/>
      </w:r>
      <w:r w:rsidR="00A62663">
        <w:rPr>
          <w:rFonts w:ascii="Helvetica-Narrow" w:hAnsi="Helvetica-Narrow" w:cs="Helvetica-Narrow"/>
          <w:color w:val="000000"/>
          <w:sz w:val="18"/>
          <w:szCs w:val="18"/>
        </w:rPr>
        <w:tab/>
      </w:r>
    </w:p>
    <w:sectPr w:rsidR="00543464" w:rsidSect="00E111DD">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464" w:rsidRDefault="00543464" w:rsidP="00E111DD">
      <w:pPr>
        <w:spacing w:after="0" w:line="240" w:lineRule="auto"/>
      </w:pPr>
      <w:r>
        <w:separator/>
      </w:r>
    </w:p>
  </w:endnote>
  <w:endnote w:type="continuationSeparator" w:id="0">
    <w:p w:rsidR="00543464" w:rsidRDefault="00543464" w:rsidP="00E1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Knockout-HTF68-FullFeatherwt">
    <w:panose1 w:val="00000000000000000000"/>
    <w:charset w:val="00"/>
    <w:family w:val="swiss"/>
    <w:notTrueType/>
    <w:pitch w:val="default"/>
    <w:sig w:usb0="00000003" w:usb1="00000000" w:usb2="00000000" w:usb3="00000000" w:csb0="00000001" w:csb1="00000000"/>
  </w:font>
  <w:font w:name="Minion-Black">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Helvetica-Narrow">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A7" w:rsidRDefault="002C1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C09" w:rsidRDefault="009E5AC7" w:rsidP="00A67C09">
    <w:pPr>
      <w:pStyle w:val="Footer"/>
      <w:ind w:left="-810"/>
    </w:pPr>
    <w:r>
      <w:t>A Roadmap for Collaboration Before, During and After the NEPA Process</w:t>
    </w:r>
  </w:p>
  <w:p w:rsidR="009E5AC7" w:rsidRDefault="009E5AC7" w:rsidP="00A67C09">
    <w:pPr>
      <w:pStyle w:val="Footer"/>
      <w:jc w:val="right"/>
    </w:pPr>
    <w:r>
      <w:tab/>
    </w:r>
    <w:r>
      <w:tab/>
    </w:r>
    <w:r w:rsidR="00A67C09">
      <w:tab/>
    </w:r>
    <w:r w:rsidR="00141A2A">
      <w:rPr>
        <w:noProof/>
      </w:rPr>
      <w:drawing>
        <wp:inline distT="0" distB="0" distL="0" distR="0">
          <wp:extent cx="1271905" cy="6045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60452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A7" w:rsidRDefault="002C1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464" w:rsidRDefault="00543464" w:rsidP="00E111DD">
      <w:pPr>
        <w:spacing w:after="0" w:line="240" w:lineRule="auto"/>
      </w:pPr>
      <w:r>
        <w:separator/>
      </w:r>
    </w:p>
  </w:footnote>
  <w:footnote w:type="continuationSeparator" w:id="0">
    <w:p w:rsidR="00543464" w:rsidRDefault="00543464" w:rsidP="00E111DD">
      <w:pPr>
        <w:spacing w:after="0" w:line="240" w:lineRule="auto"/>
      </w:pPr>
      <w:r>
        <w:continuationSeparator/>
      </w:r>
    </w:p>
  </w:footnote>
  <w:footnote w:id="1">
    <w:p w:rsidR="00E111DD" w:rsidRDefault="00E111DD" w:rsidP="00E111DD">
      <w:pPr>
        <w:pStyle w:val="FootnoteText"/>
      </w:pPr>
      <w:r>
        <w:rPr>
          <w:rStyle w:val="FootnoteReference"/>
        </w:rPr>
        <w:footnoteRef/>
      </w:r>
      <w:r>
        <w:t xml:space="preserve"> </w:t>
      </w:r>
      <w:proofErr w:type="gramStart"/>
      <w:r>
        <w:t xml:space="preserve">Bryan, 2004; CEQ, 2007b; </w:t>
      </w:r>
      <w:proofErr w:type="spellStart"/>
      <w:r>
        <w:t>Charnley</w:t>
      </w:r>
      <w:proofErr w:type="spellEnd"/>
      <w:r>
        <w:t xml:space="preserve"> et al., 2013; Cheng and Sturtevant, 2012; Interviews with collaborative groups and agency partners; Sturtevant et al., 2005.</w:t>
      </w:r>
      <w:proofErr w:type="gramEnd"/>
      <w:r>
        <w:t xml:space="preserve">  The benefits of collaboration listed here are by no means exhaustive.  For a summary of the general benefits of collaboration, see the pull-out box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A7" w:rsidRDefault="002C1BA7">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AC7" w:rsidRDefault="00141A2A">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8538845</wp:posOffset>
              </wp:positionH>
              <wp:positionV relativeFrom="paragraph">
                <wp:posOffset>-170815</wp:posOffset>
              </wp:positionV>
              <wp:extent cx="226695" cy="2381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38125"/>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5AC7" w:rsidRPr="00F171DB" w:rsidRDefault="009E5AC7">
                          <w:pPr>
                            <w:rPr>
                              <w:b/>
                              <w:color w:val="FFFFFF"/>
                            </w:rPr>
                          </w:pPr>
                          <w:r w:rsidRPr="00F171DB">
                            <w:rPr>
                              <w:b/>
                              <w:color w:val="FFFFFF"/>
                            </w:rPr>
                            <w:fldChar w:fldCharType="begin"/>
                          </w:r>
                          <w:r w:rsidRPr="00F171DB">
                            <w:rPr>
                              <w:b/>
                              <w:color w:val="FFFFFF"/>
                            </w:rPr>
                            <w:instrText xml:space="preserve"> PAGE   \* MERGEFORMAT </w:instrText>
                          </w:r>
                          <w:r w:rsidRPr="00F171DB">
                            <w:rPr>
                              <w:b/>
                              <w:color w:val="FFFFFF"/>
                            </w:rPr>
                            <w:fldChar w:fldCharType="separate"/>
                          </w:r>
                          <w:r w:rsidR="0010009C">
                            <w:rPr>
                              <w:b/>
                              <w:noProof/>
                              <w:color w:val="FFFFFF"/>
                            </w:rPr>
                            <w:t>7</w:t>
                          </w:r>
                          <w:r w:rsidRPr="00F171DB">
                            <w:rPr>
                              <w:b/>
                              <w:color w:val="FFFFF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35pt;margin-top:-13.45pt;width:17.8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" fillcolor="#7f7f7f" stroked="f">
              <v:textbox>
                <w:txbxContent>
                  <w:p w:rsidR="009E5AC7" w:rsidRPr="00F171DB" w:rsidRDefault="009E5AC7">
                    <w:pPr>
                      <w:rPr>
                        <w:b/>
                        <w:color w:val="FFFFFF"/>
                      </w:rPr>
                    </w:pPr>
                    <w:r w:rsidRPr="00F171DB">
                      <w:rPr>
                        <w:b/>
                        <w:color w:val="FFFFFF"/>
                      </w:rPr>
                      <w:fldChar w:fldCharType="begin"/>
                    </w:r>
                    <w:r w:rsidRPr="00F171DB">
                      <w:rPr>
                        <w:b/>
                        <w:color w:val="FFFFFF"/>
                      </w:rPr>
                      <w:instrText xml:space="preserve"> PAGE   \* MERGEFORMAT </w:instrText>
                    </w:r>
                    <w:r w:rsidRPr="00F171DB">
                      <w:rPr>
                        <w:b/>
                        <w:color w:val="FFFFFF"/>
                      </w:rPr>
                      <w:fldChar w:fldCharType="separate"/>
                    </w:r>
                    <w:r w:rsidR="0010009C">
                      <w:rPr>
                        <w:b/>
                        <w:noProof/>
                        <w:color w:val="FFFFFF"/>
                      </w:rPr>
                      <w:t>7</w:t>
                    </w:r>
                    <w:r w:rsidRPr="00F171DB">
                      <w:rPr>
                        <w:b/>
                        <w:color w:val="FFFFFF"/>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-906145</wp:posOffset>
              </wp:positionH>
              <wp:positionV relativeFrom="paragraph">
                <wp:posOffset>-67310</wp:posOffset>
              </wp:positionV>
              <wp:extent cx="10050145" cy="15875"/>
              <wp:effectExtent l="0" t="0" r="8255" b="31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50145" cy="15875"/>
                      </a:xfrm>
                      <a:prstGeom prst="straightConnector1">
                        <a:avLst/>
                      </a:prstGeom>
                      <a:noFill/>
                      <a:ln w="9525">
                        <a:solidFill>
                          <a:sysClr val="window" lastClr="FFFFFF">
                            <a:lumMod val="100000"/>
                            <a:lumOff val="0"/>
                          </a:sysClr>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35pt;margin-top:-5.3pt;width:791.35pt;height:1.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" strokecolor="white">
              <v:stroke dashstyle="longDash"/>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-970280</wp:posOffset>
              </wp:positionH>
              <wp:positionV relativeFrom="paragraph">
                <wp:posOffset>-170815</wp:posOffset>
              </wp:positionV>
              <wp:extent cx="10114280" cy="2381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14280" cy="238125"/>
                      </a:xfrm>
                      <a:prstGeom prst="rect">
                        <a:avLst/>
                      </a:prstGeom>
                      <a:solidFill>
                        <a:sysClr val="window" lastClr="FFFFFF">
                          <a:lumMod val="5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6.4pt;margin-top:-13.45pt;width:796.4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" fillcolor="#7f7f7f" stroked="f"/>
          </w:pict>
        </mc:Fallback>
      </mc:AlternateContent>
    </w:r>
    <w:r w:rsidR="009E5AC7">
      <w:tab/>
    </w:r>
    <w:r w:rsidR="009E5AC7">
      <w:tab/>
    </w:r>
    <w:r w:rsidR="009E5AC7">
      <w:tab/>
    </w:r>
    <w:r w:rsidR="009E5AC7">
      <w:tab/>
    </w:r>
    <w:r w:rsidR="009E5AC7">
      <w:tab/>
    </w:r>
    <w:r w:rsidR="009E5AC7">
      <w:tab/>
    </w:r>
    <w:r w:rsidR="009E5AC7">
      <w:tab/>
    </w:r>
    <w:r w:rsidR="009E5AC7">
      <w:tab/>
    </w:r>
    <w:r w:rsidR="009E5AC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A7" w:rsidRDefault="002C1BA7">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595"/>
    <w:multiLevelType w:val="hybridMultilevel"/>
    <w:tmpl w:val="18909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F1309"/>
    <w:multiLevelType w:val="hybridMultilevel"/>
    <w:tmpl w:val="45AE9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A70BFC"/>
    <w:multiLevelType w:val="hybridMultilevel"/>
    <w:tmpl w:val="94448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174FE"/>
    <w:multiLevelType w:val="hybridMultilevel"/>
    <w:tmpl w:val="C2DE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F35971"/>
    <w:multiLevelType w:val="hybridMultilevel"/>
    <w:tmpl w:val="3164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cumentProtection w:formatting="1" w:enforcement="0"/>
  <w:defaultTabStop w:val="720"/>
  <w:drawingGridHorizontalSpacing w:val="110"/>
  <w:displayHorizontalDrawingGridEvery w:val="2"/>
  <w:characterSpacingControl w:val="doNotCompress"/>
  <w:hdrShapeDefaults>
    <o:shapedefaults v:ext="edit" spidmax="3074"/>
    <o:shapelayout v:ext="edit">
      <o:rules v:ext="edit">
        <o:r id="V:Rule1" type="connector" idref="#AutoShape 2"/>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DD"/>
    <w:rsid w:val="00093B3C"/>
    <w:rsid w:val="0010009C"/>
    <w:rsid w:val="00141A2A"/>
    <w:rsid w:val="002C1BA7"/>
    <w:rsid w:val="00350470"/>
    <w:rsid w:val="00543464"/>
    <w:rsid w:val="007F0DC9"/>
    <w:rsid w:val="009615ED"/>
    <w:rsid w:val="009B41CB"/>
    <w:rsid w:val="009E5AC7"/>
    <w:rsid w:val="00A62663"/>
    <w:rsid w:val="00A67C09"/>
    <w:rsid w:val="00E111DD"/>
    <w:rsid w:val="00F1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111DD"/>
    <w:pPr>
      <w:ind w:left="720"/>
      <w:contextualSpacing/>
    </w:pPr>
  </w:style>
  <w:style w:type="table" w:styleId="TableGrid">
    <w:name w:val="Table Grid"/>
    <w:basedOn w:val="TableNormal"/>
    <w:uiPriority w:val="59"/>
    <w:locked/>
    <w:rsid w:val="00E1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locked/>
    <w:rsid w:val="00E111DD"/>
    <w:rPr>
      <w:color w:val="0000FF"/>
      <w:u w:val="single"/>
    </w:rPr>
  </w:style>
  <w:style w:type="paragraph" w:styleId="FootnoteText">
    <w:name w:val="footnote text"/>
    <w:basedOn w:val="Normal"/>
    <w:link w:val="FootnoteTextChar"/>
    <w:uiPriority w:val="99"/>
    <w:semiHidden/>
    <w:unhideWhenUsed/>
    <w:rsid w:val="00E111DD"/>
    <w:pPr>
      <w:spacing w:after="0" w:line="240" w:lineRule="auto"/>
    </w:pPr>
    <w:rPr>
      <w:sz w:val="20"/>
      <w:szCs w:val="20"/>
    </w:rPr>
  </w:style>
  <w:style w:type="character" w:customStyle="1" w:styleId="FootnoteTextChar">
    <w:name w:val="Footnote Text Char"/>
    <w:link w:val="FootnoteText"/>
    <w:uiPriority w:val="99"/>
    <w:semiHidden/>
    <w:rsid w:val="00E111DD"/>
    <w:rPr>
      <w:sz w:val="20"/>
      <w:szCs w:val="20"/>
    </w:rPr>
  </w:style>
  <w:style w:type="character" w:styleId="FootnoteReference">
    <w:name w:val="footnote reference"/>
    <w:uiPriority w:val="99"/>
    <w:semiHidden/>
    <w:unhideWhenUsed/>
    <w:rsid w:val="00E111DD"/>
    <w:rPr>
      <w:vertAlign w:val="superscript"/>
    </w:rPr>
  </w:style>
  <w:style w:type="paragraph" w:styleId="Header">
    <w:name w:val="header"/>
    <w:basedOn w:val="Normal"/>
    <w:link w:val="HeaderChar"/>
    <w:uiPriority w:val="99"/>
    <w:unhideWhenUsed/>
    <w:locked/>
    <w:rsid w:val="009E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C7"/>
  </w:style>
  <w:style w:type="paragraph" w:styleId="Footer">
    <w:name w:val="footer"/>
    <w:basedOn w:val="Normal"/>
    <w:link w:val="FooterChar"/>
    <w:uiPriority w:val="99"/>
    <w:unhideWhenUsed/>
    <w:rsid w:val="009E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C7"/>
  </w:style>
  <w:style w:type="paragraph" w:styleId="BalloonText">
    <w:name w:val="Balloon Text"/>
    <w:basedOn w:val="Normal"/>
    <w:link w:val="BalloonTextChar"/>
    <w:uiPriority w:val="99"/>
    <w:semiHidden/>
    <w:unhideWhenUsed/>
    <w:locked/>
    <w:rsid w:val="009E5A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uiPriority="35" w:qFormat="1"/>
    <w:lsdException w:name="footnote reference"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111DD"/>
    <w:pPr>
      <w:ind w:left="720"/>
      <w:contextualSpacing/>
    </w:pPr>
  </w:style>
  <w:style w:type="table" w:styleId="TableGrid">
    <w:name w:val="Table Grid"/>
    <w:basedOn w:val="TableNormal"/>
    <w:uiPriority w:val="59"/>
    <w:locked/>
    <w:rsid w:val="00E11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locked/>
    <w:rsid w:val="00E111DD"/>
    <w:rPr>
      <w:color w:val="0000FF"/>
      <w:u w:val="single"/>
    </w:rPr>
  </w:style>
  <w:style w:type="paragraph" w:styleId="FootnoteText">
    <w:name w:val="footnote text"/>
    <w:basedOn w:val="Normal"/>
    <w:link w:val="FootnoteTextChar"/>
    <w:uiPriority w:val="99"/>
    <w:semiHidden/>
    <w:unhideWhenUsed/>
    <w:rsid w:val="00E111DD"/>
    <w:pPr>
      <w:spacing w:after="0" w:line="240" w:lineRule="auto"/>
    </w:pPr>
    <w:rPr>
      <w:sz w:val="20"/>
      <w:szCs w:val="20"/>
    </w:rPr>
  </w:style>
  <w:style w:type="character" w:customStyle="1" w:styleId="FootnoteTextChar">
    <w:name w:val="Footnote Text Char"/>
    <w:link w:val="FootnoteText"/>
    <w:uiPriority w:val="99"/>
    <w:semiHidden/>
    <w:rsid w:val="00E111DD"/>
    <w:rPr>
      <w:sz w:val="20"/>
      <w:szCs w:val="20"/>
    </w:rPr>
  </w:style>
  <w:style w:type="character" w:styleId="FootnoteReference">
    <w:name w:val="footnote reference"/>
    <w:uiPriority w:val="99"/>
    <w:semiHidden/>
    <w:unhideWhenUsed/>
    <w:rsid w:val="00E111DD"/>
    <w:rPr>
      <w:vertAlign w:val="superscript"/>
    </w:rPr>
  </w:style>
  <w:style w:type="paragraph" w:styleId="Header">
    <w:name w:val="header"/>
    <w:basedOn w:val="Normal"/>
    <w:link w:val="HeaderChar"/>
    <w:uiPriority w:val="99"/>
    <w:unhideWhenUsed/>
    <w:locked/>
    <w:rsid w:val="009E5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AC7"/>
  </w:style>
  <w:style w:type="paragraph" w:styleId="Footer">
    <w:name w:val="footer"/>
    <w:basedOn w:val="Normal"/>
    <w:link w:val="FooterChar"/>
    <w:uiPriority w:val="99"/>
    <w:unhideWhenUsed/>
    <w:rsid w:val="009E5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AC7"/>
  </w:style>
  <w:style w:type="paragraph" w:styleId="BalloonText">
    <w:name w:val="Balloon Text"/>
    <w:basedOn w:val="Normal"/>
    <w:link w:val="BalloonTextChar"/>
    <w:uiPriority w:val="99"/>
    <w:semiHidden/>
    <w:unhideWhenUsed/>
    <w:locked/>
    <w:rsid w:val="009E5A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5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Schmidt</dc:creator>
  <cp:lastModifiedBy>Emily Rosso</cp:lastModifiedBy>
  <cp:revision>3</cp:revision>
  <dcterms:created xsi:type="dcterms:W3CDTF">2013-10-11T17:14:00Z</dcterms:created>
  <dcterms:modified xsi:type="dcterms:W3CDTF">2013-10-11T17:14:00Z</dcterms:modified>
</cp:coreProperties>
</file>